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51" w:rsidRPr="00CB11DF" w:rsidRDefault="00435151" w:rsidP="00435151">
      <w:pPr>
        <w:rPr>
          <w:color w:val="FF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CB11DF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CB11DF" w:rsidRDefault="00435151" w:rsidP="00435151">
            <w:pPr>
              <w:rPr>
                <w:color w:val="FF0000"/>
                <w:sz w:val="24"/>
              </w:rPr>
            </w:pPr>
          </w:p>
          <w:p w:rsidR="00435151" w:rsidRPr="00CB11DF" w:rsidRDefault="00435151" w:rsidP="00435151">
            <w:pPr>
              <w:rPr>
                <w:color w:val="FF0000"/>
                <w:sz w:val="24"/>
              </w:rPr>
            </w:pPr>
          </w:p>
          <w:p w:rsidR="00435151" w:rsidRPr="00CB11DF" w:rsidRDefault="00435151" w:rsidP="00435151">
            <w:pPr>
              <w:rPr>
                <w:color w:val="FF0000"/>
                <w:sz w:val="24"/>
              </w:rPr>
            </w:pPr>
          </w:p>
          <w:p w:rsidR="00435151" w:rsidRPr="00CB11DF" w:rsidRDefault="0035546B" w:rsidP="00435151">
            <w:pPr>
              <w:jc w:val="center"/>
              <w:rPr>
                <w:rFonts w:ascii="Arial" w:hAnsi="Arial"/>
                <w:b/>
                <w:color w:val="FF0000"/>
                <w:sz w:val="36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-534035</wp:posOffset>
                  </wp:positionV>
                  <wp:extent cx="2632710" cy="634365"/>
                  <wp:effectExtent l="19050" t="0" r="0" b="0"/>
                  <wp:wrapTight wrapText="bothSides">
                    <wp:wrapPolygon edited="0">
                      <wp:start x="-156" y="0"/>
                      <wp:lineTo x="-156" y="20757"/>
                      <wp:lineTo x="21569" y="20757"/>
                      <wp:lineTo x="21569" y="0"/>
                      <wp:lineTo x="-156" y="0"/>
                    </wp:wrapPolygon>
                  </wp:wrapTight>
                  <wp:docPr id="2" name="obrázek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151" w:rsidRPr="00CB11DF" w:rsidTr="00435151">
        <w:tc>
          <w:tcPr>
            <w:tcW w:w="9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8A38ED" w:rsidRDefault="00435151" w:rsidP="00435151">
            <w:pPr>
              <w:pStyle w:val="Nadpis1"/>
            </w:pPr>
            <w:r w:rsidRPr="008A38ED">
              <w:t>BEZPEČNOSTNÍ LIST</w:t>
            </w:r>
          </w:p>
          <w:p w:rsidR="00435151" w:rsidRPr="00CB11DF" w:rsidRDefault="00435151" w:rsidP="00435151">
            <w:pPr>
              <w:pStyle w:val="Nadpis1"/>
              <w:rPr>
                <w:b w:val="0"/>
                <w:color w:val="FF0000"/>
                <w:sz w:val="20"/>
              </w:rPr>
            </w:pPr>
            <w:r w:rsidRPr="008A38ED">
              <w:rPr>
                <w:b w:val="0"/>
                <w:sz w:val="20"/>
              </w:rPr>
              <w:t>podle Nařízení komise (EU) č. 453/2010, kterým se mění Nař. EP a Rady (ES) č. 1907/2006 - přílohy č. I (II)</w:t>
            </w:r>
          </w:p>
        </w:tc>
      </w:tr>
      <w:tr w:rsidR="00435151" w:rsidRPr="00CB11DF" w:rsidTr="00435151">
        <w:tc>
          <w:tcPr>
            <w:tcW w:w="92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A38ED" w:rsidRDefault="008A38ED" w:rsidP="00CC58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 w:rsidR="00291D1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041</w:t>
            </w:r>
            <w:r w:rsidR="00435151" w:rsidRPr="008A38ED">
              <w:rPr>
                <w:b/>
                <w:sz w:val="24"/>
              </w:rPr>
              <w:t xml:space="preserve">                Strana:   1/9                   Ze dne: 25. 8. 2012           Revize: </w:t>
            </w:r>
            <w:r w:rsidR="00CC589D">
              <w:rPr>
                <w:b/>
                <w:sz w:val="24"/>
              </w:rPr>
              <w:t>8. 10. 2014</w:t>
            </w:r>
          </w:p>
        </w:tc>
      </w:tr>
    </w:tbl>
    <w:p w:rsidR="00435151" w:rsidRPr="00CB11DF" w:rsidRDefault="00435151" w:rsidP="00435151">
      <w:pPr>
        <w:rPr>
          <w:color w:val="FF0000"/>
        </w:rPr>
      </w:pPr>
    </w:p>
    <w:p w:rsidR="00435151" w:rsidRPr="008A38ED" w:rsidRDefault="00435151" w:rsidP="00435151">
      <w:pPr>
        <w:pStyle w:val="Nadpis1"/>
        <w:rPr>
          <w:rFonts w:ascii="Arial" w:hAnsi="Arial" w:cs="Arial"/>
          <w:szCs w:val="28"/>
        </w:rPr>
      </w:pPr>
      <w:r w:rsidRPr="008A38ED">
        <w:rPr>
          <w:rFonts w:ascii="Arial" w:hAnsi="Arial" w:cs="Arial"/>
          <w:szCs w:val="28"/>
        </w:rPr>
        <w:t xml:space="preserve">NÁZEV SMĚSI: </w:t>
      </w:r>
      <w:r w:rsidR="008A38ED" w:rsidRPr="008A38ED">
        <w:rPr>
          <w:rFonts w:ascii="Arial" w:hAnsi="Arial" w:cs="Arial"/>
          <w:szCs w:val="28"/>
        </w:rPr>
        <w:t>EASY SQU</w:t>
      </w:r>
      <w:r w:rsidR="00CC589D">
        <w:rPr>
          <w:rFonts w:ascii="Arial" w:hAnsi="Arial" w:cs="Arial"/>
          <w:szCs w:val="28"/>
        </w:rPr>
        <w:t>EE</w:t>
      </w:r>
      <w:r w:rsidR="008A38ED" w:rsidRPr="008A38ED">
        <w:rPr>
          <w:rFonts w:ascii="Arial" w:hAnsi="Arial" w:cs="Arial"/>
          <w:szCs w:val="28"/>
        </w:rPr>
        <w:t>ZE</w:t>
      </w:r>
    </w:p>
    <w:p w:rsidR="00435151" w:rsidRPr="008A38ED" w:rsidRDefault="00435151" w:rsidP="00435151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A38ED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A38ED" w:rsidRDefault="00435151" w:rsidP="00435151">
            <w:pPr>
              <w:ind w:left="180"/>
            </w:pPr>
            <w:r w:rsidRPr="008A38ED">
              <w:rPr>
                <w:b/>
                <w:caps/>
                <w:sz w:val="24"/>
              </w:rPr>
              <w:t xml:space="preserve">ODDÍL 1  Identifikace látky/SMĚSI A SPOLEČNOSTI/PODNIKU </w:t>
            </w:r>
          </w:p>
        </w:tc>
      </w:tr>
    </w:tbl>
    <w:p w:rsidR="00435151" w:rsidRPr="008A38ED" w:rsidRDefault="00435151" w:rsidP="00435151"/>
    <w:p w:rsidR="00435151" w:rsidRPr="00F00B4E" w:rsidRDefault="00435151" w:rsidP="00435151">
      <w:pPr>
        <w:numPr>
          <w:ilvl w:val="1"/>
          <w:numId w:val="1"/>
        </w:numPr>
        <w:tabs>
          <w:tab w:val="clear" w:pos="1068"/>
          <w:tab w:val="num" w:pos="0"/>
          <w:tab w:val="num" w:pos="720"/>
        </w:tabs>
        <w:ind w:left="0" w:firstLine="0"/>
        <w:rPr>
          <w:b/>
          <w:sz w:val="24"/>
        </w:rPr>
      </w:pPr>
      <w:r w:rsidRPr="00F00B4E">
        <w:rPr>
          <w:b/>
          <w:sz w:val="24"/>
        </w:rPr>
        <w:t xml:space="preserve">Identifikace výrobku: </w:t>
      </w:r>
      <w:r w:rsidRPr="00F00B4E">
        <w:rPr>
          <w:b/>
          <w:sz w:val="28"/>
        </w:rPr>
        <w:t xml:space="preserve"> </w:t>
      </w:r>
    </w:p>
    <w:p w:rsidR="00435151" w:rsidRPr="00F00B4E" w:rsidRDefault="00435151" w:rsidP="00435151">
      <w:pPr>
        <w:ind w:firstLine="708"/>
        <w:rPr>
          <w:sz w:val="24"/>
          <w:szCs w:val="24"/>
        </w:rPr>
      </w:pPr>
      <w:r w:rsidRPr="00F00B4E">
        <w:rPr>
          <w:sz w:val="24"/>
          <w:szCs w:val="24"/>
        </w:rPr>
        <w:t xml:space="preserve">Obchodní název: </w:t>
      </w:r>
      <w:r w:rsidR="008A38ED" w:rsidRPr="00F00B4E">
        <w:rPr>
          <w:b/>
          <w:sz w:val="24"/>
          <w:szCs w:val="24"/>
        </w:rPr>
        <w:t>EASY SQU</w:t>
      </w:r>
      <w:r w:rsidR="00CC589D" w:rsidRPr="00F00B4E">
        <w:rPr>
          <w:b/>
          <w:sz w:val="24"/>
          <w:szCs w:val="24"/>
        </w:rPr>
        <w:t>EE</w:t>
      </w:r>
      <w:r w:rsidR="008A38ED" w:rsidRPr="00F00B4E">
        <w:rPr>
          <w:b/>
          <w:sz w:val="24"/>
          <w:szCs w:val="24"/>
        </w:rPr>
        <w:t>ZE</w:t>
      </w:r>
    </w:p>
    <w:p w:rsidR="00435151" w:rsidRPr="00F00B4E" w:rsidRDefault="00435151" w:rsidP="00435151">
      <w:pPr>
        <w:rPr>
          <w:b/>
          <w:sz w:val="24"/>
        </w:rPr>
      </w:pPr>
      <w:r w:rsidRPr="00F00B4E">
        <w:rPr>
          <w:b/>
          <w:sz w:val="24"/>
        </w:rPr>
        <w:t xml:space="preserve">1.2 </w:t>
      </w:r>
      <w:r w:rsidRPr="00F00B4E">
        <w:rPr>
          <w:b/>
          <w:sz w:val="24"/>
        </w:rPr>
        <w:tab/>
        <w:t>Příslušná určená použití látky nebo směsi a nedoporučená použití:</w:t>
      </w:r>
    </w:p>
    <w:p w:rsidR="00435151" w:rsidRPr="00F00B4E" w:rsidRDefault="00435151" w:rsidP="00435151">
      <w:pPr>
        <w:textAlignment w:val="top"/>
        <w:rPr>
          <w:sz w:val="24"/>
          <w:szCs w:val="24"/>
        </w:rPr>
      </w:pPr>
      <w:r w:rsidRPr="00F00B4E">
        <w:rPr>
          <w:sz w:val="24"/>
        </w:rPr>
        <w:tab/>
      </w:r>
      <w:r w:rsidRPr="00F00B4E">
        <w:rPr>
          <w:sz w:val="24"/>
          <w:szCs w:val="24"/>
        </w:rPr>
        <w:t xml:space="preserve">Použití – Průmyslové. </w:t>
      </w:r>
      <w:r w:rsidR="00CC589D" w:rsidRPr="00F00B4E">
        <w:rPr>
          <w:sz w:val="24"/>
          <w:szCs w:val="24"/>
        </w:rPr>
        <w:t>Čisticí</w:t>
      </w:r>
      <w:r w:rsidRPr="00F00B4E">
        <w:rPr>
          <w:sz w:val="24"/>
          <w:szCs w:val="24"/>
        </w:rPr>
        <w:t xml:space="preserve"> prostředek </w:t>
      </w:r>
      <w:r w:rsidR="008A38ED" w:rsidRPr="00F00B4E">
        <w:rPr>
          <w:sz w:val="24"/>
          <w:szCs w:val="24"/>
        </w:rPr>
        <w:t>pro okna.</w:t>
      </w:r>
      <w:r w:rsidRPr="00F00B4E">
        <w:rPr>
          <w:sz w:val="24"/>
          <w:szCs w:val="24"/>
        </w:rPr>
        <w:t xml:space="preserve"> </w:t>
      </w:r>
    </w:p>
    <w:p w:rsidR="00435151" w:rsidRPr="00F00B4E" w:rsidRDefault="00435151" w:rsidP="00435151">
      <w:pPr>
        <w:ind w:firstLine="708"/>
        <w:rPr>
          <w:sz w:val="24"/>
          <w:szCs w:val="24"/>
        </w:rPr>
      </w:pPr>
      <w:r w:rsidRPr="00F00B4E">
        <w:rPr>
          <w:sz w:val="24"/>
          <w:szCs w:val="24"/>
        </w:rPr>
        <w:t>Nedoporučovaná použití a proč: Neuvedeno</w:t>
      </w:r>
    </w:p>
    <w:p w:rsidR="00435151" w:rsidRPr="00F00B4E" w:rsidRDefault="00435151" w:rsidP="00435151">
      <w:pPr>
        <w:ind w:firstLine="708"/>
        <w:rPr>
          <w:sz w:val="24"/>
          <w:szCs w:val="24"/>
        </w:rPr>
      </w:pPr>
      <w:r w:rsidRPr="00F00B4E">
        <w:rPr>
          <w:sz w:val="24"/>
          <w:szCs w:val="24"/>
        </w:rPr>
        <w:t>Nebyla zpracována CSR.</w:t>
      </w:r>
    </w:p>
    <w:p w:rsidR="00435151" w:rsidRPr="00F00B4E" w:rsidRDefault="00435151" w:rsidP="00435151">
      <w:pPr>
        <w:numPr>
          <w:ilvl w:val="1"/>
          <w:numId w:val="19"/>
        </w:numPr>
        <w:tabs>
          <w:tab w:val="clear" w:pos="360"/>
          <w:tab w:val="num" w:pos="720"/>
        </w:tabs>
        <w:rPr>
          <w:b/>
          <w:sz w:val="24"/>
        </w:rPr>
      </w:pPr>
      <w:r w:rsidRPr="00F00B4E">
        <w:rPr>
          <w:b/>
          <w:sz w:val="24"/>
        </w:rPr>
        <w:t>Podrobné údaje o dodavateli bezpečnostního listu:</w:t>
      </w:r>
    </w:p>
    <w:p w:rsidR="00435151" w:rsidRPr="00F00B4E" w:rsidRDefault="00435151" w:rsidP="00435151">
      <w:pPr>
        <w:ind w:left="540" w:firstLine="168"/>
        <w:rPr>
          <w:sz w:val="24"/>
        </w:rPr>
      </w:pPr>
      <w:r w:rsidRPr="00F00B4E">
        <w:rPr>
          <w:sz w:val="24"/>
        </w:rPr>
        <w:t>Obchodní jméno:</w:t>
      </w:r>
      <w:r w:rsidRPr="00F00B4E">
        <w:rPr>
          <w:sz w:val="24"/>
        </w:rPr>
        <w:tab/>
        <w:t>SYPERA s.r.o.</w:t>
      </w:r>
    </w:p>
    <w:p w:rsidR="00435151" w:rsidRPr="00F00B4E" w:rsidRDefault="00435151" w:rsidP="00435151">
      <w:pPr>
        <w:ind w:left="540" w:hanging="540"/>
        <w:rPr>
          <w:sz w:val="24"/>
        </w:rPr>
      </w:pPr>
      <w:r w:rsidRPr="00F00B4E">
        <w:rPr>
          <w:sz w:val="24"/>
        </w:rPr>
        <w:t xml:space="preserve">        </w:t>
      </w:r>
      <w:r w:rsidRPr="00F00B4E">
        <w:rPr>
          <w:sz w:val="24"/>
        </w:rPr>
        <w:tab/>
        <w:t xml:space="preserve"> </w:t>
      </w:r>
      <w:r w:rsidRPr="00F00B4E">
        <w:rPr>
          <w:sz w:val="24"/>
        </w:rPr>
        <w:tab/>
        <w:t>Místo podnikání:        V Lučinách 355, Liberec 25-Vesec, 463 12</w:t>
      </w:r>
    </w:p>
    <w:p w:rsidR="00435151" w:rsidRPr="00F00B4E" w:rsidRDefault="00435151" w:rsidP="00435151">
      <w:pPr>
        <w:ind w:left="540" w:hanging="540"/>
        <w:rPr>
          <w:sz w:val="24"/>
        </w:rPr>
      </w:pPr>
      <w:r w:rsidRPr="00F00B4E">
        <w:rPr>
          <w:sz w:val="24"/>
        </w:rPr>
        <w:t xml:space="preserve">      </w:t>
      </w:r>
      <w:r w:rsidRPr="00F00B4E">
        <w:rPr>
          <w:sz w:val="24"/>
        </w:rPr>
        <w:tab/>
        <w:t xml:space="preserve"> </w:t>
      </w:r>
      <w:r w:rsidRPr="00F00B4E">
        <w:rPr>
          <w:sz w:val="24"/>
        </w:rPr>
        <w:tab/>
        <w:t xml:space="preserve">IČ:                              </w:t>
      </w:r>
      <w:r w:rsidRPr="00F00B4E">
        <w:rPr>
          <w:sz w:val="24"/>
        </w:rPr>
        <w:tab/>
        <w:t>28719328</w:t>
      </w:r>
    </w:p>
    <w:p w:rsidR="00435151" w:rsidRPr="00F00B4E" w:rsidRDefault="00435151" w:rsidP="00435151">
      <w:pPr>
        <w:ind w:left="540" w:hanging="540"/>
        <w:rPr>
          <w:sz w:val="24"/>
        </w:rPr>
      </w:pPr>
      <w:r w:rsidRPr="00F00B4E">
        <w:rPr>
          <w:sz w:val="24"/>
        </w:rPr>
        <w:t xml:space="preserve">          </w:t>
      </w:r>
      <w:r w:rsidRPr="00F00B4E">
        <w:rPr>
          <w:sz w:val="24"/>
        </w:rPr>
        <w:tab/>
        <w:t>Provozovna:</w:t>
      </w:r>
      <w:r w:rsidRPr="00F00B4E">
        <w:rPr>
          <w:sz w:val="24"/>
        </w:rPr>
        <w:tab/>
      </w:r>
      <w:r w:rsidRPr="00F00B4E">
        <w:rPr>
          <w:sz w:val="24"/>
        </w:rPr>
        <w:tab/>
        <w:t>Belgická 300, 466 05 Jablonec nad Nisou</w:t>
      </w:r>
    </w:p>
    <w:p w:rsidR="00435151" w:rsidRPr="00F00B4E" w:rsidRDefault="00435151" w:rsidP="00435151">
      <w:pPr>
        <w:ind w:left="540" w:hanging="540"/>
        <w:rPr>
          <w:sz w:val="24"/>
        </w:rPr>
      </w:pPr>
      <w:r w:rsidRPr="00F00B4E">
        <w:rPr>
          <w:sz w:val="24"/>
        </w:rPr>
        <w:t xml:space="preserve">       </w:t>
      </w:r>
      <w:r w:rsidRPr="00F00B4E">
        <w:rPr>
          <w:sz w:val="24"/>
        </w:rPr>
        <w:tab/>
        <w:t xml:space="preserve"> </w:t>
      </w:r>
      <w:r w:rsidRPr="00F00B4E">
        <w:rPr>
          <w:sz w:val="24"/>
        </w:rPr>
        <w:tab/>
        <w:t>Telefon:                      +420 483 312 535</w:t>
      </w:r>
    </w:p>
    <w:p w:rsidR="00435151" w:rsidRPr="00F00B4E" w:rsidRDefault="00435151" w:rsidP="00435151">
      <w:pPr>
        <w:ind w:left="540" w:hanging="540"/>
        <w:rPr>
          <w:sz w:val="24"/>
        </w:rPr>
      </w:pPr>
      <w:r w:rsidRPr="00F00B4E">
        <w:rPr>
          <w:sz w:val="24"/>
        </w:rPr>
        <w:t xml:space="preserve">      </w:t>
      </w:r>
      <w:r w:rsidRPr="00F00B4E">
        <w:rPr>
          <w:sz w:val="24"/>
        </w:rPr>
        <w:tab/>
        <w:t xml:space="preserve"> </w:t>
      </w:r>
      <w:r w:rsidRPr="00F00B4E">
        <w:rPr>
          <w:sz w:val="24"/>
        </w:rPr>
        <w:tab/>
        <w:t xml:space="preserve">Fax:                            </w:t>
      </w:r>
      <w:r w:rsidRPr="00F00B4E">
        <w:rPr>
          <w:sz w:val="24"/>
        </w:rPr>
        <w:tab/>
        <w:t>+420 483 312 537</w:t>
      </w:r>
    </w:p>
    <w:p w:rsidR="00435151" w:rsidRPr="00CC589D" w:rsidRDefault="00435151" w:rsidP="00CC589D">
      <w:pPr>
        <w:ind w:left="540" w:hanging="540"/>
        <w:rPr>
          <w:color w:val="FF0000"/>
          <w:sz w:val="24"/>
        </w:rPr>
      </w:pPr>
      <w:r w:rsidRPr="00F00B4E">
        <w:rPr>
          <w:sz w:val="24"/>
        </w:rPr>
        <w:t xml:space="preserve">        </w:t>
      </w:r>
      <w:r w:rsidRPr="00F00B4E">
        <w:rPr>
          <w:sz w:val="24"/>
        </w:rPr>
        <w:tab/>
        <w:t xml:space="preserve"> </w:t>
      </w:r>
      <w:r w:rsidRPr="00F00B4E">
        <w:rPr>
          <w:sz w:val="24"/>
        </w:rPr>
        <w:tab/>
        <w:t>e-mail:</w:t>
      </w:r>
      <w:r w:rsidRPr="00CB11DF">
        <w:rPr>
          <w:color w:val="FF0000"/>
          <w:sz w:val="24"/>
        </w:rPr>
        <w:t xml:space="preserve">                        </w:t>
      </w:r>
      <w:r w:rsidRPr="00CB11DF">
        <w:rPr>
          <w:color w:val="FF0000"/>
          <w:sz w:val="24"/>
        </w:rPr>
        <w:tab/>
      </w:r>
      <w:hyperlink r:id="rId8" w:history="1">
        <w:r w:rsidRPr="008A38ED">
          <w:rPr>
            <w:rStyle w:val="Hypertextovodkaz"/>
            <w:sz w:val="24"/>
          </w:rPr>
          <w:t>info</w:t>
        </w:r>
        <w:r w:rsidRPr="008A38ED">
          <w:rPr>
            <w:rStyle w:val="Hypertextovodkaz"/>
            <w:sz w:val="24"/>
            <w:lang w:val="en-US"/>
          </w:rPr>
          <w:t>@</w:t>
        </w:r>
        <w:r w:rsidRPr="008A38ED">
          <w:rPr>
            <w:rStyle w:val="Hypertextovodkaz"/>
            <w:sz w:val="24"/>
          </w:rPr>
          <w:t>sypera.cz</w:t>
        </w:r>
      </w:hyperlink>
      <w:r w:rsidRPr="008A38ED">
        <w:rPr>
          <w:color w:val="0000FF"/>
          <w:sz w:val="24"/>
        </w:rPr>
        <w:t xml:space="preserve">    </w:t>
      </w:r>
      <w:r w:rsidRPr="00CB11DF">
        <w:rPr>
          <w:color w:val="FF0000"/>
          <w:sz w:val="24"/>
        </w:rPr>
        <w:t xml:space="preserve">      </w:t>
      </w:r>
    </w:p>
    <w:p w:rsidR="00435151" w:rsidRPr="008A38ED" w:rsidRDefault="00435151" w:rsidP="00435151">
      <w:pPr>
        <w:numPr>
          <w:ilvl w:val="1"/>
          <w:numId w:val="19"/>
        </w:numPr>
        <w:ind w:left="0" w:firstLine="0"/>
        <w:rPr>
          <w:b/>
          <w:sz w:val="24"/>
        </w:rPr>
      </w:pPr>
      <w:r w:rsidRPr="00CB11DF">
        <w:rPr>
          <w:b/>
          <w:color w:val="FF0000"/>
          <w:sz w:val="24"/>
        </w:rPr>
        <w:tab/>
      </w:r>
      <w:r w:rsidRPr="008A38ED">
        <w:rPr>
          <w:b/>
          <w:sz w:val="24"/>
        </w:rPr>
        <w:t>Telefonní čísla pro naléhavé situace:</w:t>
      </w:r>
    </w:p>
    <w:p w:rsidR="00435151" w:rsidRPr="008A38ED" w:rsidRDefault="00435151" w:rsidP="00435151">
      <w:pPr>
        <w:rPr>
          <w:sz w:val="24"/>
        </w:rPr>
      </w:pPr>
      <w:r w:rsidRPr="008A38ED">
        <w:rPr>
          <w:b/>
          <w:sz w:val="24"/>
        </w:rPr>
        <w:t xml:space="preserve">           </w:t>
      </w:r>
      <w:r w:rsidRPr="008A38ED">
        <w:rPr>
          <w:b/>
          <w:sz w:val="24"/>
        </w:rPr>
        <w:tab/>
      </w:r>
      <w:r w:rsidRPr="008A38ED">
        <w:rPr>
          <w:sz w:val="24"/>
        </w:rPr>
        <w:t>Toxikologické informační středisko, Na Bojišti 1, 128 08 Praha 2,</w:t>
      </w:r>
    </w:p>
    <w:p w:rsidR="00435151" w:rsidRPr="008A38ED" w:rsidRDefault="00435151" w:rsidP="00435151">
      <w:pPr>
        <w:rPr>
          <w:b/>
          <w:sz w:val="24"/>
        </w:rPr>
      </w:pPr>
      <w:r w:rsidRPr="008A38ED">
        <w:rPr>
          <w:sz w:val="24"/>
        </w:rPr>
        <w:t xml:space="preserve">           </w:t>
      </w:r>
      <w:r w:rsidRPr="008A38ED">
        <w:rPr>
          <w:sz w:val="24"/>
        </w:rPr>
        <w:tab/>
        <w:t xml:space="preserve">Telefon 24 hodin/den: </w:t>
      </w:r>
      <w:r w:rsidRPr="008A38ED">
        <w:rPr>
          <w:b/>
          <w:sz w:val="24"/>
        </w:rPr>
        <w:t>224919293</w:t>
      </w:r>
    </w:p>
    <w:p w:rsidR="00435151" w:rsidRPr="008A38ED" w:rsidRDefault="00435151" w:rsidP="00435151">
      <w:r w:rsidRPr="008A38ED">
        <w:rPr>
          <w:sz w:val="24"/>
        </w:rPr>
        <w:t xml:space="preserve">           </w:t>
      </w:r>
      <w:r w:rsidRPr="008A38ED">
        <w:rPr>
          <w:sz w:val="24"/>
        </w:rPr>
        <w:tab/>
        <w:t xml:space="preserve">Telefon: </w:t>
      </w:r>
      <w:r w:rsidRPr="008A38ED">
        <w:rPr>
          <w:b/>
          <w:sz w:val="24"/>
        </w:rPr>
        <w:t>224971111</w:t>
      </w:r>
      <w:r w:rsidRPr="008A38ED">
        <w:rPr>
          <w:sz w:val="24"/>
        </w:rPr>
        <w:t xml:space="preserve"> (Ministerstvo zdravotnictví ČR)</w:t>
      </w:r>
    </w:p>
    <w:p w:rsidR="00435151" w:rsidRPr="008A38ED" w:rsidRDefault="00435151" w:rsidP="0043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A38ED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A38ED" w:rsidRDefault="00435151" w:rsidP="00435151">
            <w:pPr>
              <w:ind w:left="180"/>
            </w:pPr>
            <w:r w:rsidRPr="008A38ED">
              <w:rPr>
                <w:b/>
                <w:caps/>
                <w:sz w:val="24"/>
              </w:rPr>
              <w:t>ODDÍL 2  IDENTIFIKACE NEBEZPEČNOSTI</w:t>
            </w:r>
          </w:p>
        </w:tc>
      </w:tr>
    </w:tbl>
    <w:p w:rsidR="00435151" w:rsidRPr="008A38ED" w:rsidRDefault="00435151" w:rsidP="00435151">
      <w:pPr>
        <w:pStyle w:val="Zhlav"/>
        <w:tabs>
          <w:tab w:val="left" w:pos="708"/>
        </w:tabs>
      </w:pPr>
    </w:p>
    <w:p w:rsidR="00435151" w:rsidRPr="00DC6524" w:rsidRDefault="00435151" w:rsidP="00435151">
      <w:pPr>
        <w:ind w:left="720" w:hanging="720"/>
        <w:jc w:val="both"/>
        <w:rPr>
          <w:b/>
          <w:sz w:val="24"/>
        </w:rPr>
      </w:pPr>
      <w:r w:rsidRPr="00DC6524">
        <w:rPr>
          <w:b/>
          <w:sz w:val="24"/>
        </w:rPr>
        <w:t>2.1</w:t>
      </w:r>
      <w:r w:rsidRPr="00CB11DF">
        <w:rPr>
          <w:b/>
          <w:color w:val="FF0000"/>
          <w:sz w:val="24"/>
        </w:rPr>
        <w:t xml:space="preserve">   </w:t>
      </w:r>
      <w:r w:rsidRPr="00CB11DF">
        <w:rPr>
          <w:b/>
          <w:color w:val="FF0000"/>
          <w:sz w:val="24"/>
        </w:rPr>
        <w:tab/>
      </w:r>
      <w:r w:rsidRPr="00DC6524">
        <w:rPr>
          <w:b/>
          <w:sz w:val="24"/>
        </w:rPr>
        <w:t xml:space="preserve">Klasifikace látky nebo směsi: </w:t>
      </w:r>
      <w:r w:rsidRPr="00DC6524">
        <w:rPr>
          <w:sz w:val="24"/>
        </w:rPr>
        <w:t xml:space="preserve"> </w:t>
      </w:r>
    </w:p>
    <w:p w:rsidR="00435151" w:rsidRDefault="00435151" w:rsidP="00435151">
      <w:pPr>
        <w:ind w:left="360"/>
        <w:jc w:val="both"/>
        <w:rPr>
          <w:sz w:val="24"/>
        </w:rPr>
      </w:pPr>
      <w:r w:rsidRPr="00DC6524">
        <w:rPr>
          <w:sz w:val="24"/>
        </w:rPr>
        <w:tab/>
        <w:t xml:space="preserve">Směs je výrobcem charakterizována jako nebezpečná, ve smyslu zákona. Působí </w:t>
      </w:r>
      <w:r w:rsidRPr="00DC6524">
        <w:rPr>
          <w:sz w:val="24"/>
        </w:rPr>
        <w:tab/>
        <w:t>dráždivě na oči</w:t>
      </w:r>
      <w:r w:rsidR="00DC6524" w:rsidRPr="00DC6524">
        <w:rPr>
          <w:sz w:val="24"/>
        </w:rPr>
        <w:t xml:space="preserve"> a na kůži</w:t>
      </w:r>
      <w:r w:rsidRPr="00DC6524">
        <w:rPr>
          <w:sz w:val="24"/>
        </w:rPr>
        <w:t xml:space="preserve">. Jedná se o vodný roztok složek a příměsí. Produkt je </w:t>
      </w:r>
      <w:r w:rsidR="00DC6524" w:rsidRPr="00DC6524">
        <w:rPr>
          <w:sz w:val="24"/>
        </w:rPr>
        <w:tab/>
      </w:r>
      <w:r w:rsidRPr="00DC6524">
        <w:rPr>
          <w:sz w:val="24"/>
        </w:rPr>
        <w:t xml:space="preserve">používán jako </w:t>
      </w:r>
      <w:r w:rsidRPr="00DC6524">
        <w:rPr>
          <w:sz w:val="24"/>
        </w:rPr>
        <w:tab/>
        <w:t>koncentrát.  Informace o složkách jsou v oddíle 3.2.</w:t>
      </w:r>
    </w:p>
    <w:p w:rsidR="00A3749C" w:rsidRPr="00DC6524" w:rsidRDefault="00A3749C" w:rsidP="00435151">
      <w:pPr>
        <w:ind w:left="360"/>
        <w:jc w:val="both"/>
        <w:rPr>
          <w:sz w:val="24"/>
        </w:rPr>
      </w:pPr>
    </w:p>
    <w:p w:rsidR="00435151" w:rsidRPr="00A3749C" w:rsidRDefault="00435151" w:rsidP="00A3749C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b/>
          <w:sz w:val="24"/>
        </w:rPr>
      </w:pPr>
      <w:r w:rsidRPr="001B6A5A">
        <w:rPr>
          <w:b/>
          <w:sz w:val="24"/>
        </w:rPr>
        <w:t>Prvky označení: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2157"/>
        <w:gridCol w:w="2157"/>
        <w:gridCol w:w="2157"/>
      </w:tblGrid>
      <w:tr w:rsidR="00435151" w:rsidRPr="001B6A5A" w:rsidTr="00435151">
        <w:trPr>
          <w:cantSplit/>
          <w:jc w:val="center"/>
        </w:trPr>
        <w:tc>
          <w:tcPr>
            <w:tcW w:w="37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51" w:rsidRPr="001B6A5A" w:rsidRDefault="00435151" w:rsidP="00131933">
            <w:pPr>
              <w:pStyle w:val="Normaltab"/>
              <w:jc w:val="center"/>
            </w:pPr>
            <w:r w:rsidRPr="001B6A5A">
              <w:t>Směrnice 1999/45/ES (DPD)</w:t>
            </w:r>
          </w:p>
        </w:tc>
        <w:tc>
          <w:tcPr>
            <w:tcW w:w="431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35151" w:rsidRPr="001B6A5A" w:rsidRDefault="00435151" w:rsidP="00131933">
            <w:pPr>
              <w:pStyle w:val="Normaltab"/>
              <w:jc w:val="center"/>
            </w:pPr>
            <w:r w:rsidRPr="001B6A5A">
              <w:t>Nař. EP a Rady (ES) č. 1272/2008 (CLP)</w:t>
            </w:r>
          </w:p>
        </w:tc>
      </w:tr>
      <w:tr w:rsidR="00435151" w:rsidRPr="00CB11DF" w:rsidTr="00435151">
        <w:trPr>
          <w:cantSplit/>
          <w:trHeight w:val="554"/>
          <w:jc w:val="center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1B6A5A" w:rsidRDefault="00435151" w:rsidP="00435151">
            <w:pPr>
              <w:jc w:val="center"/>
              <w:rPr>
                <w:b/>
                <w:sz w:val="18"/>
                <w:szCs w:val="18"/>
              </w:rPr>
            </w:pPr>
            <w:r w:rsidRPr="001B6A5A">
              <w:rPr>
                <w:b/>
                <w:sz w:val="18"/>
                <w:szCs w:val="18"/>
              </w:rPr>
              <w:t>Symbol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1B6A5A" w:rsidRDefault="00435151" w:rsidP="00435151">
            <w:pPr>
              <w:jc w:val="center"/>
            </w:pPr>
          </w:p>
          <w:p w:rsidR="00435151" w:rsidRPr="001B6A5A" w:rsidRDefault="00435151" w:rsidP="00435151">
            <w:pPr>
              <w:jc w:val="center"/>
            </w:pPr>
          </w:p>
          <w:p w:rsidR="00435151" w:rsidRPr="001B6A5A" w:rsidRDefault="00435151" w:rsidP="00435151">
            <w:pPr>
              <w:jc w:val="center"/>
            </w:pPr>
          </w:p>
          <w:p w:rsidR="00435151" w:rsidRPr="001B6A5A" w:rsidRDefault="00435151" w:rsidP="00435151">
            <w:pPr>
              <w:jc w:val="center"/>
            </w:pPr>
          </w:p>
          <w:p w:rsidR="00435151" w:rsidRPr="001B6A5A" w:rsidRDefault="0035546B" w:rsidP="00435151">
            <w:pPr>
              <w:jc w:val="center"/>
              <w:rPr>
                <w:vertAlign w:val="sub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-466090</wp:posOffset>
                  </wp:positionV>
                  <wp:extent cx="455295" cy="431165"/>
                  <wp:effectExtent l="19050" t="0" r="1905" b="0"/>
                  <wp:wrapTight wrapText="bothSides">
                    <wp:wrapPolygon edited="0">
                      <wp:start x="-904" y="0"/>
                      <wp:lineTo x="-904" y="20996"/>
                      <wp:lineTo x="21690" y="20996"/>
                      <wp:lineTo x="21690" y="0"/>
                      <wp:lineTo x="-904" y="0"/>
                    </wp:wrapPolygon>
                  </wp:wrapTight>
                  <wp:docPr id="4" name="obrázek 4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5151" w:rsidRPr="001B6A5A">
              <w:t xml:space="preserve">   X</w:t>
            </w:r>
            <w:r w:rsidR="00435151" w:rsidRPr="001B6A5A">
              <w:rPr>
                <w:vertAlign w:val="subscript"/>
              </w:rPr>
              <w:t>i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1B6A5A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</w:p>
          <w:p w:rsidR="00435151" w:rsidRPr="001B6A5A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1B6A5A">
              <w:rPr>
                <w:b/>
                <w:bCs/>
                <w:sz w:val="18"/>
                <w:szCs w:val="18"/>
              </w:rPr>
              <w:t>Symbol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1B6A5A" w:rsidRDefault="0035546B" w:rsidP="00435151">
            <w:pPr>
              <w:pStyle w:val="Normaltab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118110</wp:posOffset>
                  </wp:positionV>
                  <wp:extent cx="452755" cy="452755"/>
                  <wp:effectExtent l="19050" t="0" r="4445" b="0"/>
                  <wp:wrapTight wrapText="bothSides">
                    <wp:wrapPolygon edited="0">
                      <wp:start x="8180" y="0"/>
                      <wp:lineTo x="-909" y="9997"/>
                      <wp:lineTo x="1818" y="14541"/>
                      <wp:lineTo x="7271" y="20903"/>
                      <wp:lineTo x="8180" y="20903"/>
                      <wp:lineTo x="13633" y="20903"/>
                      <wp:lineTo x="14541" y="20903"/>
                      <wp:lineTo x="19994" y="15450"/>
                      <wp:lineTo x="19994" y="14541"/>
                      <wp:lineTo x="21812" y="9997"/>
                      <wp:lineTo x="13633" y="0"/>
                      <wp:lineTo x="8180" y="0"/>
                    </wp:wrapPolygon>
                  </wp:wrapTight>
                  <wp:docPr id="5" name="obrázek 5" descr="GHS07">
                    <a:hlinkClick xmlns:a="http://schemas.openxmlformats.org/drawingml/2006/main" r:id="rId10" tooltip="GHS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HS07">
                            <a:hlinkClick r:id="rId10" tooltip="GHS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5151" w:rsidRPr="001B6A5A" w:rsidRDefault="00435151" w:rsidP="00435151">
            <w:pPr>
              <w:pStyle w:val="Normaltab"/>
              <w:jc w:val="center"/>
            </w:pPr>
          </w:p>
          <w:p w:rsidR="00435151" w:rsidRPr="001B6A5A" w:rsidRDefault="00435151" w:rsidP="00435151">
            <w:pPr>
              <w:pStyle w:val="Normaltab"/>
              <w:jc w:val="center"/>
            </w:pPr>
          </w:p>
          <w:p w:rsidR="00435151" w:rsidRPr="001B6A5A" w:rsidRDefault="00435151" w:rsidP="00435151">
            <w:pPr>
              <w:pStyle w:val="Normaltab"/>
              <w:jc w:val="center"/>
            </w:pPr>
          </w:p>
          <w:p w:rsidR="00435151" w:rsidRPr="001B6A5A" w:rsidRDefault="00435151" w:rsidP="00435151">
            <w:pPr>
              <w:pStyle w:val="Normaltab"/>
              <w:jc w:val="center"/>
            </w:pPr>
          </w:p>
        </w:tc>
      </w:tr>
      <w:tr w:rsidR="00435151" w:rsidRPr="00CB11DF" w:rsidTr="00131933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1B6A5A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1B6A5A">
              <w:rPr>
                <w:b/>
                <w:bCs/>
                <w:sz w:val="18"/>
                <w:szCs w:val="18"/>
              </w:rPr>
              <w:t>Klasifikace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51" w:rsidRPr="001B6A5A" w:rsidRDefault="00435151" w:rsidP="00131933">
            <w:pPr>
              <w:pStyle w:val="Normaltab"/>
              <w:jc w:val="center"/>
            </w:pPr>
            <w:r w:rsidRPr="001B6A5A">
              <w:t>Dráždivý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1B6A5A" w:rsidRDefault="001B6A5A" w:rsidP="00435151">
            <w:pPr>
              <w:pStyle w:val="Normaltab"/>
              <w:jc w:val="center"/>
            </w:pPr>
            <w:r w:rsidRPr="001B6A5A">
              <w:t>Vážné p</w:t>
            </w:r>
            <w:r w:rsidR="00435151" w:rsidRPr="001B6A5A">
              <w:t>odráždění očí</w:t>
            </w:r>
          </w:p>
          <w:p w:rsidR="001B6A5A" w:rsidRPr="001B6A5A" w:rsidRDefault="001B6A5A" w:rsidP="00435151">
            <w:pPr>
              <w:pStyle w:val="Normaltab"/>
              <w:jc w:val="center"/>
            </w:pPr>
            <w:r w:rsidRPr="001B6A5A">
              <w:t>Dráždivost pro kůži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1B6A5A" w:rsidRDefault="00435151" w:rsidP="00435151">
            <w:pPr>
              <w:jc w:val="center"/>
              <w:rPr>
                <w:sz w:val="18"/>
                <w:szCs w:val="18"/>
              </w:rPr>
            </w:pPr>
            <w:r w:rsidRPr="001B6A5A">
              <w:rPr>
                <w:sz w:val="18"/>
                <w:szCs w:val="18"/>
              </w:rPr>
              <w:t>Kategorie 2</w:t>
            </w:r>
          </w:p>
          <w:p w:rsidR="001B6A5A" w:rsidRPr="001B6A5A" w:rsidRDefault="001B6A5A" w:rsidP="00435151">
            <w:pPr>
              <w:jc w:val="center"/>
              <w:rPr>
                <w:sz w:val="18"/>
                <w:szCs w:val="18"/>
              </w:rPr>
            </w:pPr>
            <w:r w:rsidRPr="001B6A5A">
              <w:rPr>
                <w:sz w:val="18"/>
                <w:szCs w:val="18"/>
              </w:rPr>
              <w:t>Kategorie 2</w:t>
            </w:r>
          </w:p>
        </w:tc>
      </w:tr>
      <w:tr w:rsidR="00435151" w:rsidRPr="00CB11DF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1B6A5A" w:rsidRDefault="00435151" w:rsidP="00435151">
            <w:pPr>
              <w:pStyle w:val="Zpa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1B6A5A" w:rsidRDefault="00435151" w:rsidP="00435151">
            <w:pPr>
              <w:pStyle w:val="Zpat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1B6A5A" w:rsidRDefault="00435151" w:rsidP="00435151">
            <w:pPr>
              <w:pStyle w:val="Normaltab"/>
              <w:jc w:val="center"/>
            </w:pPr>
            <w:r w:rsidRPr="001B6A5A">
              <w:t>Signální slovo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1B6A5A" w:rsidRDefault="00435151" w:rsidP="00435151">
            <w:pPr>
              <w:pStyle w:val="Zpat"/>
              <w:jc w:val="center"/>
            </w:pPr>
            <w:r w:rsidRPr="001B6A5A">
              <w:t>Varování</w:t>
            </w:r>
          </w:p>
        </w:tc>
      </w:tr>
      <w:tr w:rsidR="00435151" w:rsidRPr="00CB11DF" w:rsidTr="00131933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1B6A5A" w:rsidRDefault="00435151" w:rsidP="00435151">
            <w:pPr>
              <w:pStyle w:val="Zpat"/>
              <w:jc w:val="center"/>
              <w:rPr>
                <w:b/>
                <w:bCs/>
              </w:rPr>
            </w:pPr>
            <w:r w:rsidRPr="001B6A5A">
              <w:rPr>
                <w:b/>
                <w:bCs/>
              </w:rPr>
              <w:t>R věty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51" w:rsidRPr="001B6A5A" w:rsidRDefault="00435151" w:rsidP="00131933">
            <w:pPr>
              <w:pStyle w:val="Zpat"/>
              <w:jc w:val="center"/>
            </w:pPr>
            <w:r w:rsidRPr="001B6A5A">
              <w:t>36</w:t>
            </w:r>
            <w:r w:rsidR="001B6A5A" w:rsidRPr="001B6A5A">
              <w:t>/38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1B6A5A" w:rsidRDefault="00435151" w:rsidP="00131933">
            <w:pPr>
              <w:pStyle w:val="Normaltab"/>
              <w:jc w:val="center"/>
            </w:pPr>
            <w:r w:rsidRPr="001B6A5A">
              <w:t>Standardní věta o nebezpečnosti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5151" w:rsidRPr="001B6A5A" w:rsidRDefault="00435151" w:rsidP="00131933">
            <w:pPr>
              <w:pStyle w:val="Zpat"/>
              <w:jc w:val="center"/>
              <w:rPr>
                <w:sz w:val="18"/>
                <w:szCs w:val="18"/>
              </w:rPr>
            </w:pPr>
            <w:r w:rsidRPr="001B6A5A">
              <w:rPr>
                <w:sz w:val="18"/>
                <w:szCs w:val="18"/>
              </w:rPr>
              <w:t>H319</w:t>
            </w:r>
            <w:r w:rsidR="001B6A5A" w:rsidRPr="001B6A5A">
              <w:rPr>
                <w:sz w:val="18"/>
                <w:szCs w:val="18"/>
              </w:rPr>
              <w:t>, H315</w:t>
            </w:r>
          </w:p>
        </w:tc>
      </w:tr>
      <w:tr w:rsidR="00435151" w:rsidRPr="00CB11DF" w:rsidTr="00131933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ED5291" w:rsidRDefault="00435151" w:rsidP="00435151">
            <w:pPr>
              <w:jc w:val="center"/>
              <w:rPr>
                <w:b/>
              </w:rPr>
            </w:pPr>
            <w:r w:rsidRPr="00ED5291">
              <w:rPr>
                <w:b/>
              </w:rPr>
              <w:lastRenderedPageBreak/>
              <w:t>S věty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291" w:rsidRPr="00ED5291" w:rsidRDefault="00ED5291" w:rsidP="00435151">
            <w:pPr>
              <w:pStyle w:val="Zpat"/>
              <w:jc w:val="center"/>
            </w:pPr>
          </w:p>
          <w:p w:rsidR="00435151" w:rsidRPr="00F00B4E" w:rsidRDefault="00ED5291" w:rsidP="0090150D">
            <w:pPr>
              <w:pStyle w:val="Zpat"/>
              <w:jc w:val="center"/>
            </w:pPr>
            <w:r w:rsidRPr="00F00B4E">
              <w:t>24/25,26,28,36/37/39,</w:t>
            </w:r>
            <w:r w:rsidR="0090150D" w:rsidRPr="00F00B4E"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ED5291" w:rsidRDefault="00435151" w:rsidP="00131933">
            <w:pPr>
              <w:pStyle w:val="Normaltab"/>
              <w:jc w:val="center"/>
            </w:pPr>
            <w:r w:rsidRPr="00ED5291">
              <w:t>Pokyny pro bezpečné zacházení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ED5291" w:rsidRDefault="00435151" w:rsidP="00435151">
            <w:pPr>
              <w:pStyle w:val="Normaltab"/>
              <w:jc w:val="center"/>
              <w:rPr>
                <w:sz w:val="16"/>
                <w:szCs w:val="16"/>
              </w:rPr>
            </w:pPr>
            <w:r w:rsidRPr="00ED5291">
              <w:rPr>
                <w:sz w:val="16"/>
                <w:szCs w:val="16"/>
              </w:rPr>
              <w:t xml:space="preserve"> P264,P280, P305+P351+P338, P337+P313</w:t>
            </w:r>
          </w:p>
          <w:p w:rsidR="001B6A5A" w:rsidRPr="00ED5291" w:rsidRDefault="001B6A5A" w:rsidP="00435151">
            <w:pPr>
              <w:pStyle w:val="Normaltab"/>
              <w:jc w:val="center"/>
              <w:rPr>
                <w:sz w:val="16"/>
                <w:szCs w:val="16"/>
              </w:rPr>
            </w:pPr>
            <w:r w:rsidRPr="00ED5291">
              <w:rPr>
                <w:sz w:val="16"/>
                <w:szCs w:val="16"/>
              </w:rPr>
              <w:t>P264,P280,P302+P352,P321,</w:t>
            </w:r>
            <w:r w:rsidR="00131933">
              <w:rPr>
                <w:sz w:val="16"/>
                <w:szCs w:val="16"/>
              </w:rPr>
              <w:t xml:space="preserve"> </w:t>
            </w:r>
            <w:r w:rsidRPr="00ED5291">
              <w:rPr>
                <w:sz w:val="16"/>
                <w:szCs w:val="16"/>
              </w:rPr>
              <w:t>P332+P313,P362</w:t>
            </w:r>
            <w:r w:rsidR="008C6993">
              <w:rPr>
                <w:sz w:val="16"/>
                <w:szCs w:val="16"/>
              </w:rPr>
              <w:t>,P501</w:t>
            </w:r>
          </w:p>
        </w:tc>
      </w:tr>
      <w:tr w:rsidR="00435151" w:rsidRPr="00CB11DF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5151" w:rsidRPr="00ED5291" w:rsidRDefault="00435151" w:rsidP="00435151">
            <w:pPr>
              <w:pStyle w:val="Zpat"/>
              <w:jc w:val="center"/>
              <w:rPr>
                <w:b/>
                <w:bCs/>
                <w:sz w:val="18"/>
                <w:szCs w:val="18"/>
              </w:rPr>
            </w:pPr>
            <w:r w:rsidRPr="00ED5291">
              <w:rPr>
                <w:b/>
                <w:bCs/>
                <w:sz w:val="18"/>
                <w:szCs w:val="18"/>
              </w:rPr>
              <w:t>Poznámka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35151" w:rsidRPr="00ED5291" w:rsidRDefault="00435151" w:rsidP="00435151">
            <w:pPr>
              <w:jc w:val="both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35151" w:rsidRPr="00ED5291" w:rsidRDefault="00435151" w:rsidP="00435151">
            <w:pPr>
              <w:pStyle w:val="Normaltab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ED5291" w:rsidRDefault="00435151" w:rsidP="00435151">
            <w:pPr>
              <w:pStyle w:val="Normaltab"/>
              <w:jc w:val="center"/>
            </w:pPr>
          </w:p>
        </w:tc>
      </w:tr>
    </w:tbl>
    <w:p w:rsidR="00435151" w:rsidRPr="00CB11DF" w:rsidRDefault="00435151" w:rsidP="00435151">
      <w:pPr>
        <w:jc w:val="both"/>
        <w:rPr>
          <w:color w:val="FF0000"/>
        </w:rPr>
      </w:pPr>
    </w:p>
    <w:p w:rsidR="00435151" w:rsidRPr="00C10028" w:rsidRDefault="00435151" w:rsidP="00435151">
      <w:pPr>
        <w:pStyle w:val="Normaltab"/>
        <w:ind w:left="720"/>
        <w:rPr>
          <w:b/>
        </w:rPr>
      </w:pPr>
      <w:r w:rsidRPr="00C10028">
        <w:rPr>
          <w:b/>
        </w:rPr>
        <w:t>Směrnice 1999/45/ES (DPD)</w:t>
      </w:r>
    </w:p>
    <w:p w:rsidR="00435151" w:rsidRPr="00C10028" w:rsidRDefault="00435151" w:rsidP="00435151">
      <w:pPr>
        <w:ind w:left="720"/>
        <w:jc w:val="both"/>
        <w:rPr>
          <w:b/>
        </w:rPr>
      </w:pPr>
      <w:r w:rsidRPr="00C10028">
        <w:rPr>
          <w:b/>
        </w:rPr>
        <w:t>R-věty:</w:t>
      </w:r>
    </w:p>
    <w:p w:rsidR="00435151" w:rsidRPr="00C10028" w:rsidRDefault="00435151" w:rsidP="00435151">
      <w:pPr>
        <w:ind w:left="720"/>
        <w:jc w:val="both"/>
      </w:pPr>
      <w:r w:rsidRPr="00C10028">
        <w:t>R36</w:t>
      </w:r>
      <w:r w:rsidR="00C10028">
        <w:t>/38</w:t>
      </w:r>
      <w:r w:rsidRPr="00C10028">
        <w:t xml:space="preserve"> Dráždí oči</w:t>
      </w:r>
      <w:r w:rsidR="00C10028">
        <w:t xml:space="preserve"> a kůži</w:t>
      </w:r>
      <w:r w:rsidR="00462544">
        <w:t>.</w:t>
      </w:r>
    </w:p>
    <w:p w:rsidR="00C10028" w:rsidRDefault="00C10028" w:rsidP="00435151">
      <w:pPr>
        <w:ind w:left="720"/>
        <w:jc w:val="both"/>
        <w:rPr>
          <w:b/>
          <w:color w:val="FF0000"/>
        </w:rPr>
      </w:pPr>
    </w:p>
    <w:p w:rsidR="00435151" w:rsidRPr="0090150D" w:rsidRDefault="00435151" w:rsidP="00435151">
      <w:pPr>
        <w:ind w:left="720"/>
        <w:jc w:val="both"/>
      </w:pPr>
      <w:r w:rsidRPr="0090150D">
        <w:rPr>
          <w:b/>
        </w:rPr>
        <w:t xml:space="preserve">S-věty: </w:t>
      </w:r>
      <w:r w:rsidRPr="0090150D">
        <w:rPr>
          <w:b/>
        </w:rPr>
        <w:tab/>
      </w:r>
    </w:p>
    <w:p w:rsidR="00435151" w:rsidRPr="0090150D" w:rsidRDefault="00435151" w:rsidP="00435151">
      <w:pPr>
        <w:ind w:left="720"/>
        <w:jc w:val="both"/>
      </w:pPr>
      <w:r w:rsidRPr="0090150D">
        <w:t>S24/25 Zamezte styku s kůží a očima</w:t>
      </w:r>
      <w:r w:rsidR="00B12DFA" w:rsidRPr="0090150D">
        <w:t>.</w:t>
      </w:r>
    </w:p>
    <w:p w:rsidR="00435151" w:rsidRPr="0090150D" w:rsidRDefault="00435151" w:rsidP="00435151">
      <w:pPr>
        <w:ind w:left="720"/>
        <w:jc w:val="both"/>
      </w:pPr>
      <w:r w:rsidRPr="0090150D">
        <w:t>S26 Při zasažení očí okamžitě důkladně vypláchněte vodou a vyhledejte lékařskou pomoc</w:t>
      </w:r>
      <w:r w:rsidR="00B12DFA" w:rsidRPr="0090150D">
        <w:t>.</w:t>
      </w:r>
    </w:p>
    <w:p w:rsidR="00C10028" w:rsidRPr="0090150D" w:rsidRDefault="00C10028" w:rsidP="00435151">
      <w:pPr>
        <w:ind w:left="720"/>
        <w:jc w:val="both"/>
      </w:pPr>
      <w:r w:rsidRPr="0090150D">
        <w:t>S28 Při styku s kůží okamžitě omyjte velkým množstvím vody</w:t>
      </w:r>
      <w:r w:rsidR="00B12DFA" w:rsidRPr="0090150D">
        <w:t>.</w:t>
      </w:r>
    </w:p>
    <w:p w:rsidR="00435151" w:rsidRPr="0090150D" w:rsidRDefault="00435151" w:rsidP="00435151">
      <w:pPr>
        <w:ind w:left="720"/>
        <w:jc w:val="both"/>
      </w:pPr>
      <w:r w:rsidRPr="0090150D">
        <w:t>S3</w:t>
      </w:r>
      <w:r w:rsidR="00C10028" w:rsidRPr="0090150D">
        <w:t>6/37/3</w:t>
      </w:r>
      <w:r w:rsidRPr="0090150D">
        <w:t xml:space="preserve">9 Používejte </w:t>
      </w:r>
      <w:r w:rsidR="00C10028" w:rsidRPr="0090150D">
        <w:t>vhodný ochranný oděv, ochranné rukavice a ochranné brýle nebo obličejový štít</w:t>
      </w:r>
      <w:r w:rsidR="00B12DFA" w:rsidRPr="0090150D">
        <w:t>.</w:t>
      </w:r>
    </w:p>
    <w:p w:rsidR="0090150D" w:rsidRPr="0090150D" w:rsidRDefault="0090150D" w:rsidP="0090150D">
      <w:pPr>
        <w:ind w:left="720"/>
        <w:jc w:val="both"/>
      </w:pPr>
      <w:r w:rsidRPr="0090150D">
        <w:t>S60 Tento materiál a jeho obsah musí být zneškodněny jako nebezpečný odpad.</w:t>
      </w:r>
    </w:p>
    <w:p w:rsidR="00353D63" w:rsidRPr="00C10028" w:rsidRDefault="00353D63" w:rsidP="0090150D">
      <w:pPr>
        <w:jc w:val="both"/>
        <w:rPr>
          <w:color w:val="339966"/>
        </w:rPr>
      </w:pPr>
    </w:p>
    <w:p w:rsidR="00435151" w:rsidRPr="00C10028" w:rsidRDefault="00435151" w:rsidP="00435151">
      <w:pPr>
        <w:ind w:left="720"/>
        <w:jc w:val="both"/>
        <w:rPr>
          <w:b/>
        </w:rPr>
      </w:pPr>
      <w:r w:rsidRPr="00C10028">
        <w:rPr>
          <w:b/>
        </w:rPr>
        <w:t>Nař. EP a Rady (ES) č. 1272/2008</w:t>
      </w:r>
    </w:p>
    <w:p w:rsidR="00435151" w:rsidRPr="00C10028" w:rsidRDefault="00435151" w:rsidP="00435151">
      <w:pPr>
        <w:ind w:left="720"/>
        <w:jc w:val="both"/>
        <w:rPr>
          <w:b/>
        </w:rPr>
      </w:pPr>
      <w:r w:rsidRPr="00C10028">
        <w:rPr>
          <w:b/>
        </w:rPr>
        <w:t>Standardní věty o nebezpečnosti – H věty</w:t>
      </w:r>
    </w:p>
    <w:p w:rsidR="00435151" w:rsidRPr="00C10028" w:rsidRDefault="00435151" w:rsidP="00435151">
      <w:pPr>
        <w:pStyle w:val="Normaltab"/>
        <w:ind w:left="720"/>
      </w:pPr>
      <w:r w:rsidRPr="00C10028">
        <w:t>H319 Způsobuje vážné podráždění očí</w:t>
      </w:r>
      <w:r w:rsidR="0002440F" w:rsidRPr="00C10028">
        <w:t>.</w:t>
      </w:r>
    </w:p>
    <w:p w:rsidR="00435151" w:rsidRPr="00C10028" w:rsidRDefault="0002440F" w:rsidP="00435151">
      <w:pPr>
        <w:ind w:left="720"/>
        <w:jc w:val="both"/>
      </w:pPr>
      <w:r w:rsidRPr="00C10028">
        <w:t>H315 Dráždí kůži.</w:t>
      </w:r>
    </w:p>
    <w:p w:rsidR="001B6A5A" w:rsidRPr="00A3749C" w:rsidRDefault="001B6A5A" w:rsidP="001B6A5A">
      <w:pPr>
        <w:jc w:val="both"/>
        <w:rPr>
          <w:b/>
        </w:rPr>
      </w:pPr>
    </w:p>
    <w:p w:rsidR="00B12DFA" w:rsidRPr="00B12DFA" w:rsidRDefault="00B12DFA" w:rsidP="001B6A5A">
      <w:pPr>
        <w:jc w:val="both"/>
        <w:rPr>
          <w:b/>
        </w:rPr>
      </w:pPr>
      <w:r>
        <w:rPr>
          <w:b/>
        </w:rPr>
        <w:tab/>
      </w:r>
      <w:r w:rsidRPr="00B12DFA">
        <w:rPr>
          <w:b/>
        </w:rPr>
        <w:t>Pokyny pro bezpečn</w:t>
      </w:r>
      <w:r>
        <w:rPr>
          <w:b/>
        </w:rPr>
        <w:t>é</w:t>
      </w:r>
      <w:r w:rsidRPr="00B12DFA">
        <w:rPr>
          <w:b/>
        </w:rPr>
        <w:t xml:space="preserve"> zacházení (redukované pro štítek)</w:t>
      </w:r>
    </w:p>
    <w:p w:rsidR="00C10028" w:rsidRPr="0090150D" w:rsidRDefault="00C10028" w:rsidP="00C10028">
      <w:pPr>
        <w:ind w:left="720"/>
        <w:jc w:val="both"/>
      </w:pPr>
      <w:r w:rsidRPr="0090150D">
        <w:t>P280 Používejte ochranné rukavice/ochranný oděv/ochranné brýle/obličejový štít.</w:t>
      </w:r>
    </w:p>
    <w:p w:rsidR="008C6993" w:rsidRPr="0090150D" w:rsidRDefault="0090150D" w:rsidP="00C10028">
      <w:pPr>
        <w:ind w:left="720"/>
        <w:jc w:val="both"/>
      </w:pPr>
      <w:r w:rsidRPr="0090150D">
        <w:t>P501 Odstraňte obal/obsah jako nebezpečný odpad.</w:t>
      </w:r>
    </w:p>
    <w:p w:rsidR="00C10028" w:rsidRPr="0090150D" w:rsidRDefault="00C10028" w:rsidP="00C10028">
      <w:pPr>
        <w:ind w:left="720"/>
        <w:jc w:val="both"/>
      </w:pPr>
      <w:r w:rsidRPr="0090150D">
        <w:t>P302+P352 PŘI STYKU S KŮŽÍ: Omyjte velkým množstvím mýdla a vody</w:t>
      </w:r>
      <w:r w:rsidR="00462544" w:rsidRPr="0090150D">
        <w:t>.</w:t>
      </w:r>
    </w:p>
    <w:p w:rsidR="00C10028" w:rsidRPr="0090150D" w:rsidRDefault="00C10028" w:rsidP="00C10028">
      <w:pPr>
        <w:ind w:left="720"/>
        <w:jc w:val="both"/>
      </w:pPr>
      <w:r w:rsidRPr="0090150D">
        <w:t>P305+P351+P338 PŘI ZASAŽENÍ OČÍ: Několik minut opatrně vyplachujte vodou. Vyjměte kontaktní čočky, jsou-li nasazeny</w:t>
      </w:r>
      <w:r w:rsidR="008372D2" w:rsidRPr="0090150D">
        <w:t>,</w:t>
      </w:r>
      <w:r w:rsidRPr="0090150D">
        <w:t xml:space="preserve"> a pokud je lze vyjmout snadno. Pokračujte ve vyplachování.</w:t>
      </w:r>
    </w:p>
    <w:p w:rsidR="00C10028" w:rsidRPr="0090150D" w:rsidRDefault="00C10028" w:rsidP="00C10028">
      <w:pPr>
        <w:ind w:left="720"/>
        <w:jc w:val="both"/>
      </w:pPr>
      <w:r w:rsidRPr="0090150D">
        <w:t>P332+P313 Při podráždění kůže: Vyhledejte lékařskou pomoc</w:t>
      </w:r>
      <w:r w:rsidR="00462544" w:rsidRPr="0090150D">
        <w:t>.</w:t>
      </w:r>
    </w:p>
    <w:p w:rsidR="00C10028" w:rsidRPr="0090150D" w:rsidRDefault="00C10028" w:rsidP="00C10028">
      <w:pPr>
        <w:ind w:left="720"/>
        <w:jc w:val="both"/>
      </w:pPr>
      <w:r w:rsidRPr="0090150D">
        <w:t>P337+P313 Přetrvává-li podráždění očí: Vyhledejte lékařskou pomoc/ošetření</w:t>
      </w:r>
      <w:r w:rsidR="00462544" w:rsidRPr="0090150D">
        <w:t>.</w:t>
      </w:r>
    </w:p>
    <w:p w:rsidR="00C10028" w:rsidRPr="00ED5291" w:rsidRDefault="00C10028" w:rsidP="00C10028">
      <w:pPr>
        <w:jc w:val="both"/>
        <w:rPr>
          <w:i/>
        </w:rPr>
      </w:pPr>
      <w:r w:rsidRPr="00ED5291">
        <w:tab/>
      </w:r>
      <w:r w:rsidR="00B12DFA" w:rsidRPr="00ED5291">
        <w:rPr>
          <w:i/>
        </w:rPr>
        <w:t>Poznámka: Plné znění P vět je v oddíle 16</w:t>
      </w:r>
    </w:p>
    <w:p w:rsidR="001B6A5A" w:rsidRPr="0090150D" w:rsidRDefault="001B6A5A" w:rsidP="001B6A5A">
      <w:pPr>
        <w:jc w:val="both"/>
        <w:rPr>
          <w:b/>
        </w:rPr>
      </w:pPr>
    </w:p>
    <w:p w:rsidR="00435151" w:rsidRPr="00ED5291" w:rsidRDefault="00435151" w:rsidP="0043515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b/>
          <w:sz w:val="24"/>
        </w:rPr>
      </w:pPr>
      <w:r w:rsidRPr="00ED5291">
        <w:rPr>
          <w:sz w:val="24"/>
        </w:rPr>
        <w:tab/>
      </w:r>
      <w:r w:rsidRPr="00ED5291">
        <w:rPr>
          <w:b/>
          <w:sz w:val="24"/>
        </w:rPr>
        <w:t>Další nebezpečnost:</w:t>
      </w:r>
    </w:p>
    <w:p w:rsidR="00435151" w:rsidRPr="00ED5291" w:rsidRDefault="00435151" w:rsidP="00435151">
      <w:pPr>
        <w:jc w:val="both"/>
        <w:rPr>
          <w:sz w:val="24"/>
        </w:rPr>
      </w:pPr>
      <w:r w:rsidRPr="00ED5291">
        <w:rPr>
          <w:sz w:val="24"/>
        </w:rPr>
        <w:tab/>
        <w:t xml:space="preserve">Směs může být zdraví škodlivá při požití. Produkt je dodáván jako koncentrát. </w:t>
      </w:r>
      <w:r w:rsidR="00ED5291" w:rsidRPr="00ED5291">
        <w:rPr>
          <w:sz w:val="24"/>
        </w:rPr>
        <w:tab/>
      </w:r>
      <w:r w:rsidRPr="00ED5291">
        <w:rPr>
          <w:sz w:val="24"/>
        </w:rPr>
        <w:t>S ředěním klesají nebezpečné vlastnosti. Obsah VOC není</w:t>
      </w:r>
      <w:r w:rsidR="00ED5291" w:rsidRPr="00ED5291">
        <w:rPr>
          <w:sz w:val="24"/>
        </w:rPr>
        <w:t xml:space="preserve"> </w:t>
      </w:r>
      <w:r w:rsidRPr="00ED5291">
        <w:rPr>
          <w:sz w:val="24"/>
        </w:rPr>
        <w:tab/>
        <w:t>uveden.</w:t>
      </w:r>
    </w:p>
    <w:p w:rsidR="00435151" w:rsidRPr="00ED5291" w:rsidRDefault="00435151" w:rsidP="004351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90150D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ind w:left="180"/>
              <w:rPr>
                <w:sz w:val="24"/>
              </w:rPr>
            </w:pPr>
            <w:r w:rsidRPr="0090150D">
              <w:rPr>
                <w:b/>
                <w:caps/>
                <w:sz w:val="24"/>
              </w:rPr>
              <w:t>ODDÍL 3   SLOŽENÍ/INFORMACE O SLOŽKÁCH</w:t>
            </w:r>
          </w:p>
        </w:tc>
      </w:tr>
    </w:tbl>
    <w:p w:rsidR="00435151" w:rsidRPr="0090150D" w:rsidRDefault="00435151" w:rsidP="00435151">
      <w:pPr>
        <w:jc w:val="both"/>
        <w:rPr>
          <w:b/>
        </w:rPr>
      </w:pPr>
    </w:p>
    <w:p w:rsidR="00435151" w:rsidRPr="0090150D" w:rsidRDefault="00435151" w:rsidP="00435151">
      <w:pPr>
        <w:numPr>
          <w:ilvl w:val="1"/>
          <w:numId w:val="3"/>
        </w:numPr>
        <w:jc w:val="both"/>
        <w:rPr>
          <w:b/>
          <w:sz w:val="24"/>
        </w:rPr>
      </w:pPr>
      <w:r w:rsidRPr="0090150D">
        <w:rPr>
          <w:b/>
          <w:sz w:val="24"/>
        </w:rPr>
        <w:t>Látky</w:t>
      </w:r>
    </w:p>
    <w:p w:rsidR="00435151" w:rsidRPr="0090150D" w:rsidRDefault="00435151" w:rsidP="00435151">
      <w:pPr>
        <w:jc w:val="both"/>
        <w:rPr>
          <w:sz w:val="24"/>
        </w:rPr>
      </w:pPr>
      <w:r w:rsidRPr="0090150D">
        <w:rPr>
          <w:sz w:val="24"/>
        </w:rPr>
        <w:tab/>
        <w:t>Produkt je charakterizován jako směs.</w:t>
      </w:r>
    </w:p>
    <w:p w:rsidR="00435151" w:rsidRPr="0090150D" w:rsidRDefault="00435151" w:rsidP="00435151">
      <w:pPr>
        <w:numPr>
          <w:ilvl w:val="1"/>
          <w:numId w:val="3"/>
        </w:numPr>
        <w:jc w:val="both"/>
        <w:rPr>
          <w:b/>
          <w:sz w:val="24"/>
        </w:rPr>
      </w:pPr>
      <w:r w:rsidRPr="0090150D">
        <w:rPr>
          <w:b/>
          <w:sz w:val="24"/>
        </w:rPr>
        <w:t>Směsi</w:t>
      </w:r>
    </w:p>
    <w:p w:rsidR="00AD4C7A" w:rsidRPr="0090150D" w:rsidRDefault="00435151" w:rsidP="00435151">
      <w:pPr>
        <w:ind w:left="708"/>
        <w:rPr>
          <w:b/>
          <w:sz w:val="24"/>
        </w:rPr>
      </w:pPr>
      <w:r w:rsidRPr="0090150D">
        <w:rPr>
          <w:sz w:val="24"/>
        </w:rPr>
        <w:t xml:space="preserve">Obchodní název směsi: </w:t>
      </w:r>
      <w:r w:rsidRPr="0090150D">
        <w:rPr>
          <w:b/>
          <w:sz w:val="24"/>
        </w:rPr>
        <w:t xml:space="preserve"> </w:t>
      </w:r>
      <w:r w:rsidR="00AD4C7A" w:rsidRPr="0090150D">
        <w:rPr>
          <w:b/>
          <w:sz w:val="24"/>
        </w:rPr>
        <w:t>EASY SQU</w:t>
      </w:r>
      <w:r w:rsidR="009E28BB" w:rsidRPr="0090150D">
        <w:rPr>
          <w:b/>
          <w:sz w:val="24"/>
        </w:rPr>
        <w:t>EE</w:t>
      </w:r>
      <w:r w:rsidR="00AD4C7A" w:rsidRPr="0090150D">
        <w:rPr>
          <w:b/>
          <w:sz w:val="24"/>
        </w:rPr>
        <w:t>ZE</w:t>
      </w:r>
    </w:p>
    <w:p w:rsidR="00435151" w:rsidRPr="0090150D" w:rsidRDefault="00435151" w:rsidP="00435151">
      <w:pPr>
        <w:ind w:left="708"/>
        <w:rPr>
          <w:sz w:val="24"/>
        </w:rPr>
      </w:pPr>
      <w:r w:rsidRPr="0090150D">
        <w:rPr>
          <w:sz w:val="24"/>
        </w:rPr>
        <w:t>Směs obsahuje složky: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2157"/>
        <w:gridCol w:w="2157"/>
        <w:gridCol w:w="2157"/>
      </w:tblGrid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Název složky</w:t>
            </w:r>
          </w:p>
        </w:tc>
        <w:tc>
          <w:tcPr>
            <w:tcW w:w="6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A3749C" w:rsidP="00435151">
            <w:pPr>
              <w:pStyle w:val="Normaltab"/>
              <w:jc w:val="center"/>
            </w:pPr>
            <w:r w:rsidRPr="0090150D">
              <w:t>1-Propanaminium, 3-amino-N-(karboxymethyl)-N, N-dimethyl-, N-coco acylderiváty, hydroxidy, vnitřní soli</w:t>
            </w:r>
            <w:r w:rsidR="009E28BB" w:rsidRPr="0090150D">
              <w:t xml:space="preserve"> (</w:t>
            </w:r>
            <w:r w:rsidR="009E28BB" w:rsidRPr="0090150D">
              <w:rPr>
                <w:rFonts w:ascii="TimesNewRomanPSMT" w:hAnsi="TimesNewRomanPSMT" w:cs="TimesNewRomanPSMT"/>
              </w:rPr>
              <w:t>Kokoamidopropylbetain)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Obsah (%)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1-5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Reg.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9E28BB" w:rsidP="00435151">
            <w:pPr>
              <w:pStyle w:val="Normaltab"/>
              <w:jc w:val="center"/>
            </w:pPr>
            <w:r w:rsidRPr="0090150D">
              <w:rPr>
                <w:lang w:val="en-US"/>
              </w:rPr>
              <w:t>01-2119488533-30-0000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Index.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Číslo CAS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61789-40-0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Číslo ES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263-058-8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373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</w:pPr>
            <w:r w:rsidRPr="0090150D">
              <w:t xml:space="preserve"> Směrnice 67/548/EHS (DSD), ve znění ostatních předpisů) </w:t>
            </w:r>
          </w:p>
        </w:tc>
        <w:tc>
          <w:tcPr>
            <w:tcW w:w="4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Nař. EP a Rady (ES) č. 1272/2008 (CLP)</w:t>
            </w:r>
          </w:p>
        </w:tc>
      </w:tr>
      <w:tr w:rsidR="00435151" w:rsidRPr="0090150D" w:rsidTr="00435151">
        <w:trPr>
          <w:cantSplit/>
          <w:trHeight w:val="431"/>
          <w:jc w:val="center"/>
        </w:trPr>
        <w:tc>
          <w:tcPr>
            <w:tcW w:w="15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  <w:rPr>
                <w:b/>
              </w:rPr>
            </w:pPr>
            <w:r w:rsidRPr="0090150D">
              <w:rPr>
                <w:b/>
              </w:rPr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jc w:val="center"/>
            </w:pPr>
          </w:p>
          <w:p w:rsidR="00435151" w:rsidRPr="0090150D" w:rsidRDefault="00435151" w:rsidP="00435151">
            <w:pPr>
              <w:jc w:val="center"/>
            </w:pPr>
          </w:p>
          <w:p w:rsidR="00435151" w:rsidRPr="0090150D" w:rsidRDefault="00435151" w:rsidP="00435151"/>
          <w:p w:rsidR="00435151" w:rsidRPr="0090150D" w:rsidRDefault="0035546B" w:rsidP="00435151">
            <w:pPr>
              <w:rPr>
                <w:vertAlign w:val="sub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-611505</wp:posOffset>
                  </wp:positionV>
                  <wp:extent cx="456565" cy="432435"/>
                  <wp:effectExtent l="19050" t="0" r="635" b="0"/>
                  <wp:wrapTight wrapText="bothSides">
                    <wp:wrapPolygon edited="0">
                      <wp:start x="-901" y="0"/>
                      <wp:lineTo x="-901" y="20934"/>
                      <wp:lineTo x="21630" y="20934"/>
                      <wp:lineTo x="21630" y="0"/>
                      <wp:lineTo x="-901" y="0"/>
                    </wp:wrapPolygon>
                  </wp:wrapTight>
                  <wp:docPr id="6" name="obrázek 6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32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5151" w:rsidRPr="0090150D">
              <w:t xml:space="preserve">                  X</w:t>
            </w:r>
            <w:r w:rsidR="00AD4C7A" w:rsidRPr="0090150D">
              <w:rPr>
                <w:vertAlign w:val="subscript"/>
              </w:rPr>
              <w:t>i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/>
          <w:p w:rsidR="00435151" w:rsidRPr="0090150D" w:rsidRDefault="00435151" w:rsidP="00435151"/>
          <w:p w:rsidR="00435151" w:rsidRPr="0090150D" w:rsidRDefault="00435151" w:rsidP="00435151">
            <w:pPr>
              <w:jc w:val="center"/>
              <w:rPr>
                <w:b/>
              </w:rPr>
            </w:pPr>
            <w:r w:rsidRPr="0090150D">
              <w:rPr>
                <w:b/>
              </w:rPr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35546B" w:rsidP="004351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48260</wp:posOffset>
                  </wp:positionV>
                  <wp:extent cx="452755" cy="452755"/>
                  <wp:effectExtent l="19050" t="0" r="4445" b="0"/>
                  <wp:wrapTight wrapText="bothSides">
                    <wp:wrapPolygon edited="0">
                      <wp:start x="8180" y="0"/>
                      <wp:lineTo x="-909" y="9997"/>
                      <wp:lineTo x="1818" y="14541"/>
                      <wp:lineTo x="7271" y="20903"/>
                      <wp:lineTo x="8180" y="20903"/>
                      <wp:lineTo x="13633" y="20903"/>
                      <wp:lineTo x="14541" y="20903"/>
                      <wp:lineTo x="19994" y="15450"/>
                      <wp:lineTo x="19994" y="14541"/>
                      <wp:lineTo x="21812" y="9997"/>
                      <wp:lineTo x="13633" y="0"/>
                      <wp:lineTo x="8180" y="0"/>
                    </wp:wrapPolygon>
                  </wp:wrapTight>
                  <wp:docPr id="11" name="obrázek 11" descr="GHS07">
                    <a:hlinkClick xmlns:a="http://schemas.openxmlformats.org/drawingml/2006/main" r:id="rId10" tooltip="GHS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HS07">
                            <a:hlinkClick r:id="rId10" tooltip="GHS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5151" w:rsidRPr="0090150D" w:rsidRDefault="00435151" w:rsidP="00435151">
            <w:pPr>
              <w:jc w:val="center"/>
            </w:pPr>
          </w:p>
        </w:tc>
      </w:tr>
      <w:tr w:rsidR="00435151" w:rsidRPr="0090150D" w:rsidTr="00435151">
        <w:trPr>
          <w:cantSplit/>
          <w:trHeight w:val="266"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Klasifikace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Dráždivý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Vážné podráždění očí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Kategorie 2</w:t>
            </w:r>
          </w:p>
          <w:p w:rsidR="00435151" w:rsidRPr="0090150D" w:rsidRDefault="00435151" w:rsidP="00435151">
            <w:pPr>
              <w:pStyle w:val="Normaltab"/>
              <w:jc w:val="center"/>
            </w:pP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Signální slovo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Varování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 věty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35151" w:rsidRPr="0090150D" w:rsidRDefault="00AD4C7A" w:rsidP="00435151">
            <w:pPr>
              <w:pStyle w:val="Normaltab"/>
              <w:jc w:val="center"/>
            </w:pPr>
            <w:r w:rsidRPr="0090150D"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Standardní věta o nebezpečnosti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H319</w:t>
            </w:r>
          </w:p>
        </w:tc>
      </w:tr>
    </w:tbl>
    <w:p w:rsidR="009E28BB" w:rsidRPr="0090150D" w:rsidRDefault="009E28BB" w:rsidP="00435151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2157"/>
        <w:gridCol w:w="2157"/>
        <w:gridCol w:w="2157"/>
      </w:tblGrid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Název složky</w:t>
            </w:r>
          </w:p>
        </w:tc>
        <w:tc>
          <w:tcPr>
            <w:tcW w:w="6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AD4C7A" w:rsidP="00435151">
            <w:pPr>
              <w:pStyle w:val="Normaltab"/>
              <w:jc w:val="center"/>
            </w:pPr>
            <w:r w:rsidRPr="0090150D">
              <w:t>sodium 2-(2-dodecyloxyethoxy) ethylsulfát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Obsah (%)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AD4C7A" w:rsidP="00435151">
            <w:pPr>
              <w:pStyle w:val="Normaltab"/>
              <w:jc w:val="center"/>
            </w:pPr>
            <w:r w:rsidRPr="0090150D">
              <w:t>15-25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Reg.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874B0B" w:rsidP="00435151">
            <w:pPr>
              <w:pStyle w:val="Normaltab"/>
              <w:jc w:val="center"/>
            </w:pPr>
            <w:r w:rsidRPr="0090150D">
              <w:t>01-2119488639-16-0000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Index.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Číslo CAS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AD4C7A" w:rsidP="00435151">
            <w:pPr>
              <w:pStyle w:val="Normaltab"/>
              <w:jc w:val="center"/>
            </w:pPr>
            <w:r w:rsidRPr="0090150D">
              <w:t>3088-31-1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Číslo ES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AD4C7A" w:rsidP="00435151">
            <w:pPr>
              <w:pStyle w:val="Normaltab"/>
              <w:jc w:val="center"/>
            </w:pPr>
            <w:r w:rsidRPr="0090150D">
              <w:t>221-416-0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373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</w:pPr>
            <w:r w:rsidRPr="0090150D">
              <w:t xml:space="preserve"> Směrnice 67/548/EHS (DSD)  </w:t>
            </w:r>
          </w:p>
        </w:tc>
        <w:tc>
          <w:tcPr>
            <w:tcW w:w="4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 xml:space="preserve">Nař. EP a Rady (ES) č. 1272/2008 (CLP) </w:t>
            </w:r>
          </w:p>
        </w:tc>
      </w:tr>
      <w:tr w:rsidR="00435151" w:rsidRPr="0090150D" w:rsidTr="00435151">
        <w:trPr>
          <w:cantSplit/>
          <w:trHeight w:val="431"/>
          <w:jc w:val="center"/>
        </w:trPr>
        <w:tc>
          <w:tcPr>
            <w:tcW w:w="15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</w:pPr>
            <w:r w:rsidRPr="0090150D"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35546B" w:rsidP="00435151">
            <w:pPr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73660</wp:posOffset>
                  </wp:positionV>
                  <wp:extent cx="455295" cy="431165"/>
                  <wp:effectExtent l="19050" t="0" r="1905" b="0"/>
                  <wp:wrapTight wrapText="bothSides">
                    <wp:wrapPolygon edited="0">
                      <wp:start x="-904" y="0"/>
                      <wp:lineTo x="-904" y="20996"/>
                      <wp:lineTo x="21690" y="20996"/>
                      <wp:lineTo x="21690" y="0"/>
                      <wp:lineTo x="-904" y="0"/>
                    </wp:wrapPolygon>
                  </wp:wrapTight>
                  <wp:docPr id="8" name="obrázek 8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5151" w:rsidRPr="0090150D" w:rsidRDefault="00435151" w:rsidP="00435151">
            <w:pPr>
              <w:jc w:val="center"/>
              <w:rPr>
                <w:vertAlign w:val="subscript"/>
              </w:rPr>
            </w:pPr>
          </w:p>
          <w:p w:rsidR="00435151" w:rsidRPr="0090150D" w:rsidRDefault="00435151" w:rsidP="00435151">
            <w:pPr>
              <w:jc w:val="center"/>
              <w:rPr>
                <w:vertAlign w:val="subscript"/>
              </w:rPr>
            </w:pPr>
          </w:p>
          <w:p w:rsidR="00435151" w:rsidRPr="0090150D" w:rsidRDefault="00435151" w:rsidP="00435151">
            <w:pPr>
              <w:jc w:val="center"/>
              <w:rPr>
                <w:vertAlign w:val="subscript"/>
              </w:rPr>
            </w:pPr>
          </w:p>
          <w:p w:rsidR="00435151" w:rsidRPr="0090150D" w:rsidRDefault="00435151" w:rsidP="00435151">
            <w:pPr>
              <w:jc w:val="center"/>
              <w:rPr>
                <w:vertAlign w:val="subscript"/>
              </w:rPr>
            </w:pPr>
            <w:r w:rsidRPr="0090150D">
              <w:t xml:space="preserve">  X</w:t>
            </w:r>
            <w:r w:rsidRPr="0090150D">
              <w:rPr>
                <w:vertAlign w:val="subscript"/>
              </w:rPr>
              <w:t>i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/>
          <w:p w:rsidR="00435151" w:rsidRPr="0090150D" w:rsidRDefault="00435151" w:rsidP="00435151"/>
          <w:p w:rsidR="00435151" w:rsidRPr="0090150D" w:rsidRDefault="00435151" w:rsidP="00435151">
            <w:pPr>
              <w:jc w:val="center"/>
            </w:pPr>
            <w:r w:rsidRPr="0090150D"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35546B" w:rsidP="004351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99060</wp:posOffset>
                  </wp:positionV>
                  <wp:extent cx="452755" cy="452755"/>
                  <wp:effectExtent l="19050" t="0" r="4445" b="0"/>
                  <wp:wrapTight wrapText="bothSides">
                    <wp:wrapPolygon edited="0">
                      <wp:start x="8180" y="0"/>
                      <wp:lineTo x="-909" y="9997"/>
                      <wp:lineTo x="1818" y="14541"/>
                      <wp:lineTo x="7271" y="20903"/>
                      <wp:lineTo x="8180" y="20903"/>
                      <wp:lineTo x="13633" y="20903"/>
                      <wp:lineTo x="14541" y="20903"/>
                      <wp:lineTo x="19994" y="15450"/>
                      <wp:lineTo x="19994" y="14541"/>
                      <wp:lineTo x="21812" y="9997"/>
                      <wp:lineTo x="13633" y="0"/>
                      <wp:lineTo x="8180" y="0"/>
                    </wp:wrapPolygon>
                  </wp:wrapTight>
                  <wp:docPr id="9" name="obrázek 9" descr="GHS07">
                    <a:hlinkClick xmlns:a="http://schemas.openxmlformats.org/drawingml/2006/main" r:id="rId10" tooltip="GHS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07">
                            <a:hlinkClick r:id="rId10" tooltip="GHS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5151" w:rsidRPr="0090150D" w:rsidRDefault="00435151" w:rsidP="00435151">
            <w:pPr>
              <w:jc w:val="center"/>
            </w:pPr>
          </w:p>
        </w:tc>
      </w:tr>
      <w:tr w:rsidR="00435151" w:rsidRPr="0090150D" w:rsidTr="00435151">
        <w:trPr>
          <w:cantSplit/>
          <w:trHeight w:val="266"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Klasifikace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Dráždivý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Vážné podráždění očí</w:t>
            </w:r>
          </w:p>
          <w:p w:rsidR="00AD4C7A" w:rsidRPr="0090150D" w:rsidRDefault="00AD4C7A" w:rsidP="00435151">
            <w:pPr>
              <w:pStyle w:val="Normaltab"/>
              <w:jc w:val="center"/>
            </w:pPr>
            <w:r w:rsidRPr="0090150D">
              <w:t>Dráždivost pro kůži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  <w:rPr>
                <w:sz w:val="18"/>
                <w:szCs w:val="18"/>
              </w:rPr>
            </w:pPr>
            <w:r w:rsidRPr="0090150D">
              <w:rPr>
                <w:sz w:val="18"/>
                <w:szCs w:val="18"/>
              </w:rPr>
              <w:t>Kategorie 2</w:t>
            </w:r>
          </w:p>
          <w:p w:rsidR="00AD4C7A" w:rsidRPr="0090150D" w:rsidRDefault="00AD4C7A" w:rsidP="00435151">
            <w:pPr>
              <w:pStyle w:val="Normaltab"/>
              <w:jc w:val="center"/>
              <w:rPr>
                <w:sz w:val="18"/>
                <w:szCs w:val="18"/>
              </w:rPr>
            </w:pPr>
            <w:r w:rsidRPr="0090150D">
              <w:rPr>
                <w:sz w:val="18"/>
                <w:szCs w:val="18"/>
              </w:rPr>
              <w:t>Kategorie 2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Signální slovo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Varování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 věty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36</w:t>
            </w:r>
            <w:r w:rsidR="00AD4C7A" w:rsidRPr="0090150D">
              <w:t>/38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Standardní věta o nebezpečnosti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  <w:rPr>
                <w:sz w:val="18"/>
                <w:szCs w:val="18"/>
              </w:rPr>
            </w:pPr>
            <w:r w:rsidRPr="0090150D">
              <w:rPr>
                <w:sz w:val="18"/>
                <w:szCs w:val="18"/>
              </w:rPr>
              <w:t>H319</w:t>
            </w:r>
            <w:r w:rsidR="00AD4C7A" w:rsidRPr="0090150D">
              <w:rPr>
                <w:sz w:val="18"/>
                <w:szCs w:val="18"/>
              </w:rPr>
              <w:t>, H315</w:t>
            </w:r>
          </w:p>
        </w:tc>
      </w:tr>
    </w:tbl>
    <w:p w:rsidR="00435151" w:rsidRPr="0090150D" w:rsidRDefault="00435151" w:rsidP="0043515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2157"/>
        <w:gridCol w:w="2157"/>
        <w:gridCol w:w="2157"/>
      </w:tblGrid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Název složky</w:t>
            </w:r>
          </w:p>
        </w:tc>
        <w:tc>
          <w:tcPr>
            <w:tcW w:w="6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sodium-N-methyl-N-(1-oxotetradecyl) aminoacetát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Obsah (%)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&lt;1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Reg.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Index. číslo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Číslo CAS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30364-51-3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</w:rPr>
            </w:pPr>
            <w:r w:rsidRPr="0090150D">
              <w:rPr>
                <w:b/>
                <w:bCs/>
              </w:rPr>
              <w:t>Číslo ES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D22D31" w:rsidP="00435151">
            <w:pPr>
              <w:pStyle w:val="Normaltab"/>
              <w:jc w:val="center"/>
            </w:pPr>
            <w:r w:rsidRPr="0090150D">
              <w:t>250-151-3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373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</w:pPr>
            <w:r w:rsidRPr="0090150D">
              <w:t xml:space="preserve"> Směrnice 67/548/EHS (DSD) </w:t>
            </w:r>
          </w:p>
        </w:tc>
        <w:tc>
          <w:tcPr>
            <w:tcW w:w="4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 xml:space="preserve">Nař. EP a Rady (ES) č. 1272/2008 (CLP) </w:t>
            </w:r>
          </w:p>
        </w:tc>
      </w:tr>
      <w:tr w:rsidR="00435151" w:rsidRPr="0090150D" w:rsidTr="00435151">
        <w:trPr>
          <w:cantSplit/>
          <w:trHeight w:val="431"/>
          <w:jc w:val="center"/>
        </w:trPr>
        <w:tc>
          <w:tcPr>
            <w:tcW w:w="15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jc w:val="center"/>
            </w:pPr>
            <w:r w:rsidRPr="0090150D"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jc w:val="center"/>
            </w:pPr>
          </w:p>
          <w:p w:rsidR="00435151" w:rsidRPr="0090150D" w:rsidRDefault="00435151" w:rsidP="00435151">
            <w:pPr>
              <w:jc w:val="center"/>
            </w:pPr>
          </w:p>
          <w:p w:rsidR="00435151" w:rsidRPr="0090150D" w:rsidRDefault="00435151" w:rsidP="00435151">
            <w:pPr>
              <w:jc w:val="center"/>
            </w:pPr>
          </w:p>
          <w:p w:rsidR="00435151" w:rsidRPr="0090150D" w:rsidRDefault="00435151" w:rsidP="00435151">
            <w:pPr>
              <w:jc w:val="center"/>
            </w:pPr>
          </w:p>
          <w:p w:rsidR="00435151" w:rsidRPr="0090150D" w:rsidRDefault="0035546B" w:rsidP="00435151">
            <w:pPr>
              <w:jc w:val="center"/>
              <w:rPr>
                <w:vertAlign w:val="sub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-440690</wp:posOffset>
                  </wp:positionV>
                  <wp:extent cx="455295" cy="431165"/>
                  <wp:effectExtent l="19050" t="0" r="1905" b="0"/>
                  <wp:wrapTight wrapText="bothSides">
                    <wp:wrapPolygon edited="0">
                      <wp:start x="-904" y="0"/>
                      <wp:lineTo x="-904" y="20996"/>
                      <wp:lineTo x="21690" y="20996"/>
                      <wp:lineTo x="21690" y="0"/>
                      <wp:lineTo x="-904" y="0"/>
                    </wp:wrapPolygon>
                  </wp:wrapTight>
                  <wp:docPr id="3" name="obrázek 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5151" w:rsidRPr="0090150D">
              <w:t xml:space="preserve">  X</w:t>
            </w:r>
            <w:r w:rsidR="00435151" w:rsidRPr="0090150D">
              <w:rPr>
                <w:vertAlign w:val="subscript"/>
              </w:rPr>
              <w:t>i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/>
          <w:p w:rsidR="00435151" w:rsidRPr="0090150D" w:rsidRDefault="00435151" w:rsidP="00435151"/>
          <w:p w:rsidR="00435151" w:rsidRPr="0090150D" w:rsidRDefault="00435151" w:rsidP="00435151">
            <w:pPr>
              <w:jc w:val="center"/>
            </w:pPr>
            <w:r w:rsidRPr="0090150D">
              <w:t>Symbol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35546B" w:rsidP="004351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22860</wp:posOffset>
                  </wp:positionV>
                  <wp:extent cx="565785" cy="565785"/>
                  <wp:effectExtent l="19050" t="0" r="5715" b="0"/>
                  <wp:wrapTight wrapText="bothSides">
                    <wp:wrapPolygon edited="0">
                      <wp:start x="8727" y="0"/>
                      <wp:lineTo x="-727" y="10182"/>
                      <wp:lineTo x="-727" y="12364"/>
                      <wp:lineTo x="8000" y="21091"/>
                      <wp:lineTo x="8727" y="21091"/>
                      <wp:lineTo x="13091" y="21091"/>
                      <wp:lineTo x="13818" y="21091"/>
                      <wp:lineTo x="21818" y="12364"/>
                      <wp:lineTo x="21818" y="10182"/>
                      <wp:lineTo x="19636" y="8000"/>
                      <wp:lineTo x="13091" y="0"/>
                      <wp:lineTo x="8727" y="0"/>
                    </wp:wrapPolygon>
                  </wp:wrapTight>
                  <wp:docPr id="10" name="obrázek 10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5151" w:rsidRPr="0090150D" w:rsidRDefault="00435151" w:rsidP="00435151">
            <w:pPr>
              <w:jc w:val="center"/>
            </w:pPr>
          </w:p>
        </w:tc>
      </w:tr>
      <w:tr w:rsidR="00435151" w:rsidRPr="0090150D" w:rsidTr="00435151">
        <w:trPr>
          <w:cantSplit/>
          <w:trHeight w:val="266"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Klasifikace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Dráždivý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Vážné poškození očí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  <w:rPr>
                <w:sz w:val="18"/>
                <w:szCs w:val="18"/>
              </w:rPr>
            </w:pPr>
            <w:r w:rsidRPr="0090150D">
              <w:rPr>
                <w:sz w:val="18"/>
                <w:szCs w:val="18"/>
              </w:rPr>
              <w:t>Kategorie 1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Signální slovo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Nebezpečí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  <w:r w:rsidRPr="0090150D">
              <w:rPr>
                <w:b/>
                <w:bCs/>
                <w:sz w:val="18"/>
                <w:szCs w:val="18"/>
              </w:rPr>
              <w:t>R věty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</w:pPr>
            <w:r w:rsidRPr="0090150D">
              <w:t>Standardní věta o nebezpečnosti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  <w:rPr>
                <w:sz w:val="18"/>
                <w:szCs w:val="18"/>
              </w:rPr>
            </w:pPr>
            <w:r w:rsidRPr="0090150D">
              <w:rPr>
                <w:sz w:val="18"/>
                <w:szCs w:val="18"/>
              </w:rPr>
              <w:t>H318</w:t>
            </w:r>
          </w:p>
        </w:tc>
      </w:tr>
      <w:tr w:rsidR="00435151" w:rsidRPr="0090150D" w:rsidTr="00435151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5151" w:rsidRPr="0090150D" w:rsidRDefault="00435151" w:rsidP="00435151">
            <w:pPr>
              <w:pStyle w:val="Normaltab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pStyle w:val="Normaltab"/>
              <w:jc w:val="center"/>
              <w:rPr>
                <w:sz w:val="18"/>
                <w:szCs w:val="18"/>
              </w:rPr>
            </w:pPr>
          </w:p>
        </w:tc>
      </w:tr>
    </w:tbl>
    <w:p w:rsidR="00435151" w:rsidRPr="0090150D" w:rsidRDefault="00435151" w:rsidP="00435151"/>
    <w:p w:rsidR="00435151" w:rsidRPr="0090150D" w:rsidRDefault="00ED5291" w:rsidP="00435151">
      <w:pPr>
        <w:jc w:val="both"/>
      </w:pPr>
      <w:r w:rsidRPr="0090150D">
        <w:tab/>
      </w:r>
      <w:r w:rsidR="00435151" w:rsidRPr="0090150D">
        <w:t>Výrobce neuvádí další podrobnosti ke složení směsi.  Text R a H vět je uveden v oddíle 16.</w:t>
      </w:r>
    </w:p>
    <w:p w:rsidR="00435151" w:rsidRPr="007B2FAE" w:rsidRDefault="00435151" w:rsidP="0043515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7B2FA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7B2FAE" w:rsidRDefault="00435151" w:rsidP="00435151">
            <w:pPr>
              <w:ind w:left="180"/>
              <w:rPr>
                <w:sz w:val="24"/>
              </w:rPr>
            </w:pPr>
            <w:r w:rsidRPr="007B2FAE">
              <w:rPr>
                <w:b/>
                <w:caps/>
                <w:sz w:val="24"/>
              </w:rPr>
              <w:t>ODDÍL 4  Pokyny pro první pomoc</w:t>
            </w:r>
          </w:p>
        </w:tc>
      </w:tr>
    </w:tbl>
    <w:p w:rsidR="00435151" w:rsidRPr="0090150D" w:rsidRDefault="00435151" w:rsidP="00435151">
      <w:pPr>
        <w:jc w:val="both"/>
      </w:pPr>
    </w:p>
    <w:p w:rsidR="00435151" w:rsidRPr="0090150D" w:rsidRDefault="00435151" w:rsidP="00435151">
      <w:pPr>
        <w:numPr>
          <w:ilvl w:val="1"/>
          <w:numId w:val="4"/>
        </w:numPr>
        <w:jc w:val="both"/>
        <w:rPr>
          <w:sz w:val="24"/>
          <w:szCs w:val="24"/>
        </w:rPr>
      </w:pPr>
      <w:r w:rsidRPr="0090150D">
        <w:rPr>
          <w:b/>
          <w:sz w:val="24"/>
          <w:szCs w:val="24"/>
        </w:rPr>
        <w:tab/>
        <w:t xml:space="preserve">Popis první pomoci: </w:t>
      </w:r>
    </w:p>
    <w:p w:rsidR="003F7564" w:rsidRPr="0090150D" w:rsidRDefault="003F7564" w:rsidP="00435151">
      <w:pPr>
        <w:ind w:left="720" w:right="424"/>
        <w:jc w:val="both"/>
        <w:rPr>
          <w:b/>
          <w:sz w:val="24"/>
          <w:szCs w:val="24"/>
        </w:rPr>
      </w:pPr>
      <w:r w:rsidRPr="0090150D">
        <w:rPr>
          <w:b/>
          <w:sz w:val="24"/>
          <w:szCs w:val="24"/>
        </w:rPr>
        <w:t>Všeobecně:</w:t>
      </w:r>
      <w:r w:rsidRPr="0090150D">
        <w:rPr>
          <w:sz w:val="24"/>
          <w:szCs w:val="24"/>
        </w:rPr>
        <w:t xml:space="preserve"> V případě nehody, či úrazu vyhledejte lékařskou pomoc a ukažte etiketu nebo bezpečnostní list. Vyhnout se kontaktu s kůží a očima. Je nutno zachovat opatrnost a bezpečnost při manipulaci a nakládání především s koncentrovaným produktem. Je nutno dodržovat základní hygienické pokyny pro práci s chemikáliemi.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90150D">
        <w:rPr>
          <w:b/>
          <w:sz w:val="24"/>
          <w:szCs w:val="24"/>
        </w:rPr>
        <w:tab/>
        <w:t>Při nadýchání:</w:t>
      </w:r>
      <w:r w:rsidRPr="0090150D">
        <w:rPr>
          <w:sz w:val="24"/>
          <w:szCs w:val="24"/>
        </w:rPr>
        <w:t xml:space="preserve">  Postiženou osobu je nutno přesunout na čerstvý vzduch a uvolnit </w:t>
      </w:r>
      <w:r w:rsidRPr="0090150D">
        <w:rPr>
          <w:sz w:val="24"/>
          <w:szCs w:val="24"/>
        </w:rPr>
        <w:tab/>
        <w:t xml:space="preserve">oděv. V případě potíží zajistit lékařskou pomoc. Je </w:t>
      </w:r>
      <w:r w:rsidRPr="0090150D">
        <w:rPr>
          <w:sz w:val="24"/>
          <w:szCs w:val="24"/>
        </w:rPr>
        <w:tab/>
        <w:t xml:space="preserve">též nutné vypláchnout nos, ústa a </w:t>
      </w:r>
      <w:r w:rsidRPr="0090150D">
        <w:rPr>
          <w:sz w:val="24"/>
          <w:szCs w:val="24"/>
        </w:rPr>
        <w:tab/>
        <w:t xml:space="preserve">krk.  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3F7564">
        <w:rPr>
          <w:b/>
          <w:color w:val="FF0000"/>
          <w:sz w:val="24"/>
          <w:szCs w:val="24"/>
        </w:rPr>
        <w:lastRenderedPageBreak/>
        <w:tab/>
      </w:r>
      <w:r w:rsidRPr="0090150D">
        <w:rPr>
          <w:b/>
          <w:sz w:val="24"/>
          <w:szCs w:val="24"/>
        </w:rPr>
        <w:t>Při styku s kůží:</w:t>
      </w:r>
      <w:r w:rsidRPr="0090150D">
        <w:rPr>
          <w:sz w:val="24"/>
          <w:szCs w:val="24"/>
        </w:rPr>
        <w:t xml:space="preserve"> Odstranit kontaminovaný oděv. Kontaminovaná místa omývat </w:t>
      </w:r>
      <w:r w:rsidRPr="0090150D">
        <w:rPr>
          <w:sz w:val="24"/>
          <w:szCs w:val="24"/>
        </w:rPr>
        <w:tab/>
        <w:t xml:space="preserve">proudem vody, pokožku ošetřit vhodným krémem, mohou být i použity prostředky pro </w:t>
      </w:r>
      <w:r w:rsidRPr="0090150D">
        <w:rPr>
          <w:sz w:val="24"/>
          <w:szCs w:val="24"/>
        </w:rPr>
        <w:tab/>
        <w:t>čištění pleti. Nepoužívat</w:t>
      </w:r>
      <w:r w:rsidR="003F7564" w:rsidRPr="0090150D">
        <w:rPr>
          <w:sz w:val="24"/>
          <w:szCs w:val="24"/>
        </w:rPr>
        <w:t xml:space="preserve"> organická </w:t>
      </w:r>
      <w:r w:rsidRPr="0090150D">
        <w:rPr>
          <w:sz w:val="24"/>
          <w:szCs w:val="24"/>
        </w:rPr>
        <w:t>rozpouštědla a ředidla.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90150D">
        <w:rPr>
          <w:b/>
          <w:sz w:val="24"/>
          <w:szCs w:val="24"/>
        </w:rPr>
        <w:tab/>
        <w:t xml:space="preserve">Při zasažení očí: </w:t>
      </w:r>
      <w:r w:rsidRPr="0090150D">
        <w:rPr>
          <w:sz w:val="24"/>
          <w:szCs w:val="24"/>
        </w:rPr>
        <w:t xml:space="preserve">Vymývat proudem vody i pod očními víčky po dobu nejméně 15 </w:t>
      </w:r>
      <w:r w:rsidRPr="0090150D">
        <w:rPr>
          <w:sz w:val="24"/>
          <w:szCs w:val="24"/>
        </w:rPr>
        <w:tab/>
        <w:t xml:space="preserve">minut </w:t>
      </w:r>
      <w:r w:rsidRPr="0090150D">
        <w:rPr>
          <w:sz w:val="24"/>
          <w:szCs w:val="24"/>
        </w:rPr>
        <w:tab/>
        <w:t xml:space="preserve">nebo do doby příchodu lékaře. Pozor – případně odstranit kontaktní čočky! </w:t>
      </w:r>
      <w:r w:rsidRPr="0090150D">
        <w:rPr>
          <w:sz w:val="24"/>
          <w:szCs w:val="24"/>
        </w:rPr>
        <w:tab/>
        <w:t xml:space="preserve">Zasažené oči nutno ochránit </w:t>
      </w:r>
      <w:r w:rsidRPr="0090150D">
        <w:rPr>
          <w:sz w:val="24"/>
          <w:szCs w:val="24"/>
        </w:rPr>
        <w:tab/>
        <w:t xml:space="preserve">sterilní gázou </w:t>
      </w:r>
      <w:r w:rsidRPr="0090150D">
        <w:rPr>
          <w:sz w:val="24"/>
          <w:szCs w:val="24"/>
        </w:rPr>
        <w:tab/>
        <w:t xml:space="preserve">nebo čistým obvazem. Zasaženou </w:t>
      </w:r>
      <w:r w:rsidRPr="0090150D">
        <w:rPr>
          <w:sz w:val="24"/>
          <w:szCs w:val="24"/>
        </w:rPr>
        <w:tab/>
        <w:t xml:space="preserve">pokožku ošetřit vhodným krémem. 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90150D">
        <w:rPr>
          <w:b/>
          <w:sz w:val="24"/>
          <w:szCs w:val="24"/>
        </w:rPr>
        <w:tab/>
        <w:t>Při požití:</w:t>
      </w:r>
      <w:r w:rsidRPr="0090150D">
        <w:rPr>
          <w:sz w:val="24"/>
          <w:szCs w:val="24"/>
        </w:rPr>
        <w:t xml:space="preserve"> Nevyvolávat zvracení. Vypláchnout ústa a vypít větší množství vody. </w:t>
      </w:r>
      <w:r w:rsidRPr="0090150D">
        <w:rPr>
          <w:sz w:val="24"/>
          <w:szCs w:val="24"/>
        </w:rPr>
        <w:tab/>
        <w:t xml:space="preserve">Pokud nastane zvracení, držet hlavu </w:t>
      </w:r>
      <w:r w:rsidRPr="0090150D">
        <w:rPr>
          <w:sz w:val="24"/>
          <w:szCs w:val="24"/>
        </w:rPr>
        <w:tab/>
        <w:t xml:space="preserve">nízko pro zabránění vniknutí částic obsahu </w:t>
      </w:r>
      <w:r w:rsidRPr="0090150D">
        <w:rPr>
          <w:sz w:val="24"/>
          <w:szCs w:val="24"/>
        </w:rPr>
        <w:tab/>
        <w:t>žaludku do plic. Okamžitě vyhledat lékařskou pomoc a ukázat bezpečnostní list.</w:t>
      </w:r>
    </w:p>
    <w:p w:rsidR="00435151" w:rsidRPr="0090150D" w:rsidRDefault="00435151" w:rsidP="00435151">
      <w:pPr>
        <w:jc w:val="both"/>
        <w:rPr>
          <w:b/>
          <w:sz w:val="24"/>
          <w:szCs w:val="24"/>
        </w:rPr>
      </w:pPr>
      <w:r w:rsidRPr="0090150D">
        <w:rPr>
          <w:b/>
          <w:sz w:val="24"/>
          <w:szCs w:val="24"/>
        </w:rPr>
        <w:t>4.2</w:t>
      </w:r>
      <w:r w:rsidRPr="0090150D">
        <w:rPr>
          <w:b/>
          <w:sz w:val="24"/>
          <w:szCs w:val="24"/>
        </w:rPr>
        <w:tab/>
        <w:t xml:space="preserve">Nejdůležitější akutní a opožděné symptomy a účinky: </w:t>
      </w:r>
    </w:p>
    <w:p w:rsidR="00435151" w:rsidRPr="0090150D" w:rsidRDefault="00435151" w:rsidP="00435151">
      <w:pPr>
        <w:jc w:val="both"/>
        <w:rPr>
          <w:sz w:val="24"/>
        </w:rPr>
      </w:pPr>
      <w:r w:rsidRPr="0090150D">
        <w:rPr>
          <w:sz w:val="24"/>
          <w:szCs w:val="24"/>
        </w:rPr>
        <w:tab/>
        <w:t>Přímý kontakt může způsobit podráždění očí</w:t>
      </w:r>
      <w:r w:rsidR="007B2FAE" w:rsidRPr="0090150D">
        <w:rPr>
          <w:sz w:val="24"/>
          <w:szCs w:val="24"/>
        </w:rPr>
        <w:t xml:space="preserve"> a kůže. U</w:t>
      </w:r>
      <w:r w:rsidRPr="0090150D">
        <w:rPr>
          <w:sz w:val="24"/>
          <w:szCs w:val="24"/>
        </w:rPr>
        <w:t xml:space="preserve"> náchylných jedinců není </w:t>
      </w:r>
      <w:r w:rsidR="007B2FAE" w:rsidRPr="0090150D">
        <w:rPr>
          <w:sz w:val="24"/>
          <w:szCs w:val="24"/>
        </w:rPr>
        <w:tab/>
      </w:r>
      <w:r w:rsidRPr="0090150D">
        <w:rPr>
          <w:sz w:val="24"/>
          <w:szCs w:val="24"/>
        </w:rPr>
        <w:t xml:space="preserve">vyloučena alergie. Požití může být zdraví škodlivé. </w:t>
      </w:r>
      <w:r w:rsidRPr="0090150D">
        <w:rPr>
          <w:sz w:val="24"/>
        </w:rPr>
        <w:t xml:space="preserve">Při expozici nebo podezření na </w:t>
      </w:r>
      <w:r w:rsidR="007B2FAE" w:rsidRPr="0090150D">
        <w:rPr>
          <w:sz w:val="24"/>
        </w:rPr>
        <w:tab/>
      </w:r>
      <w:r w:rsidRPr="0090150D">
        <w:rPr>
          <w:sz w:val="24"/>
        </w:rPr>
        <w:t>ní</w:t>
      </w:r>
      <w:r w:rsidR="00345793" w:rsidRPr="0090150D">
        <w:rPr>
          <w:sz w:val="24"/>
        </w:rPr>
        <w:t>,</w:t>
      </w:r>
      <w:r w:rsidRPr="0090150D">
        <w:rPr>
          <w:sz w:val="24"/>
        </w:rPr>
        <w:t xml:space="preserve"> vždy vyhledejte lékařskou pomoc, nebo ošetření.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90150D">
        <w:rPr>
          <w:b/>
          <w:sz w:val="24"/>
          <w:szCs w:val="24"/>
        </w:rPr>
        <w:t>4.3</w:t>
      </w:r>
      <w:r w:rsidRPr="0090150D">
        <w:rPr>
          <w:b/>
          <w:sz w:val="24"/>
          <w:szCs w:val="24"/>
        </w:rPr>
        <w:tab/>
        <w:t>Pokyn týkající se okamžité lékařské pomoci a zvláštního ošetření:</w:t>
      </w:r>
    </w:p>
    <w:p w:rsidR="00435151" w:rsidRPr="0090150D" w:rsidRDefault="00435151" w:rsidP="00435151">
      <w:pPr>
        <w:jc w:val="both"/>
        <w:rPr>
          <w:sz w:val="24"/>
          <w:szCs w:val="24"/>
        </w:rPr>
      </w:pPr>
      <w:r w:rsidRPr="0090150D">
        <w:rPr>
          <w:sz w:val="24"/>
          <w:szCs w:val="24"/>
        </w:rPr>
        <w:tab/>
        <w:t xml:space="preserve">Léčit symptomaticky. </w:t>
      </w:r>
      <w:r w:rsidR="00345793" w:rsidRPr="0090150D">
        <w:rPr>
          <w:sz w:val="24"/>
          <w:szCs w:val="24"/>
        </w:rPr>
        <w:t>Předložit bezpečnostní list.</w:t>
      </w:r>
    </w:p>
    <w:p w:rsidR="00435151" w:rsidRPr="00A5311C" w:rsidRDefault="00435151" w:rsidP="00353D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7B2FA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7B2FAE" w:rsidRDefault="00435151" w:rsidP="00435151">
            <w:pPr>
              <w:ind w:left="180"/>
              <w:rPr>
                <w:sz w:val="24"/>
              </w:rPr>
            </w:pPr>
            <w:r w:rsidRPr="007B2FAE">
              <w:rPr>
                <w:b/>
                <w:sz w:val="24"/>
              </w:rPr>
              <w:t>ODDÍL 5  OPATŘENÍ PRO HAŠENÍ POŽÁRU</w:t>
            </w:r>
          </w:p>
        </w:tc>
      </w:tr>
    </w:tbl>
    <w:p w:rsidR="00435151" w:rsidRPr="00856077" w:rsidRDefault="00435151" w:rsidP="00435151">
      <w:pPr>
        <w:jc w:val="both"/>
        <w:rPr>
          <w:color w:val="FF0000"/>
        </w:rPr>
      </w:pPr>
    </w:p>
    <w:p w:rsidR="00435151" w:rsidRPr="0090150D" w:rsidRDefault="00435151" w:rsidP="00435151">
      <w:pPr>
        <w:numPr>
          <w:ilvl w:val="1"/>
          <w:numId w:val="5"/>
        </w:numPr>
        <w:jc w:val="both"/>
        <w:rPr>
          <w:b/>
          <w:sz w:val="24"/>
        </w:rPr>
      </w:pPr>
      <w:r w:rsidRPr="00856077">
        <w:rPr>
          <w:b/>
          <w:color w:val="FF0000"/>
          <w:sz w:val="24"/>
        </w:rPr>
        <w:tab/>
      </w:r>
      <w:r w:rsidRPr="0090150D">
        <w:rPr>
          <w:b/>
          <w:sz w:val="24"/>
        </w:rPr>
        <w:t>Hasiva:</w:t>
      </w:r>
    </w:p>
    <w:p w:rsidR="00A5311C" w:rsidRPr="0090150D" w:rsidRDefault="00435151" w:rsidP="00A5311C">
      <w:pPr>
        <w:ind w:left="420" w:firstLine="6"/>
        <w:jc w:val="both"/>
        <w:rPr>
          <w:sz w:val="24"/>
          <w:szCs w:val="24"/>
        </w:rPr>
      </w:pPr>
      <w:r w:rsidRPr="0090150D">
        <w:rPr>
          <w:sz w:val="24"/>
        </w:rPr>
        <w:tab/>
        <w:t xml:space="preserve">Prášek, oxid uhličitý, pěna </w:t>
      </w:r>
      <w:r w:rsidR="00A5311C" w:rsidRPr="0090150D">
        <w:rPr>
          <w:sz w:val="24"/>
        </w:rPr>
        <w:t>odolná alkoholu,</w:t>
      </w:r>
      <w:r w:rsidR="00A5311C" w:rsidRPr="0090150D">
        <w:rPr>
          <w:sz w:val="24"/>
          <w:szCs w:val="24"/>
        </w:rPr>
        <w:t xml:space="preserve"> vodní mlha.</w:t>
      </w:r>
    </w:p>
    <w:p w:rsidR="00435151" w:rsidRPr="0090150D" w:rsidRDefault="00A5311C" w:rsidP="00A5311C">
      <w:pPr>
        <w:ind w:left="420" w:firstLine="6"/>
        <w:jc w:val="both"/>
        <w:rPr>
          <w:sz w:val="24"/>
          <w:szCs w:val="24"/>
        </w:rPr>
      </w:pPr>
      <w:r w:rsidRPr="0090150D">
        <w:rPr>
          <w:sz w:val="24"/>
          <w:szCs w:val="24"/>
        </w:rPr>
        <w:tab/>
        <w:t>Nevhodná hasiva: proud vody.</w:t>
      </w:r>
    </w:p>
    <w:p w:rsidR="00435151" w:rsidRPr="0090150D" w:rsidRDefault="00435151" w:rsidP="00435151">
      <w:pPr>
        <w:numPr>
          <w:ilvl w:val="1"/>
          <w:numId w:val="5"/>
        </w:numPr>
        <w:jc w:val="both"/>
        <w:rPr>
          <w:b/>
          <w:sz w:val="24"/>
          <w:szCs w:val="24"/>
        </w:rPr>
      </w:pPr>
      <w:r w:rsidRPr="0090150D">
        <w:tab/>
      </w:r>
      <w:r w:rsidRPr="0090150D">
        <w:rPr>
          <w:b/>
          <w:sz w:val="24"/>
          <w:szCs w:val="24"/>
        </w:rPr>
        <w:t>Zvláštní nebezpečnost vyplývající z látky nebo směsi:</w:t>
      </w:r>
    </w:p>
    <w:p w:rsidR="00435151" w:rsidRPr="0090150D" w:rsidRDefault="00435151" w:rsidP="00435151">
      <w:pPr>
        <w:ind w:left="420"/>
        <w:jc w:val="both"/>
        <w:rPr>
          <w:sz w:val="24"/>
        </w:rPr>
      </w:pPr>
      <w:r w:rsidRPr="0090150D">
        <w:rPr>
          <w:b/>
          <w:sz w:val="24"/>
          <w:szCs w:val="24"/>
        </w:rPr>
        <w:tab/>
      </w:r>
      <w:r w:rsidRPr="0090150D">
        <w:rPr>
          <w:sz w:val="24"/>
        </w:rPr>
        <w:t xml:space="preserve">Při požáru vzniká hustý černý kouř. Produkty hoření – nebezpečné rozkladné látky </w:t>
      </w:r>
      <w:r w:rsidRPr="0090150D">
        <w:rPr>
          <w:sz w:val="24"/>
        </w:rPr>
        <w:tab/>
        <w:t>s toxickými a dráždivými účinky</w:t>
      </w:r>
      <w:r w:rsidR="00A5311C" w:rsidRPr="0090150D">
        <w:rPr>
          <w:sz w:val="24"/>
        </w:rPr>
        <w:t>, např. oxidy uhlíku</w:t>
      </w:r>
      <w:r w:rsidRPr="0090150D">
        <w:rPr>
          <w:sz w:val="24"/>
        </w:rPr>
        <w:t>.</w:t>
      </w:r>
    </w:p>
    <w:p w:rsidR="00435151" w:rsidRPr="0090150D" w:rsidRDefault="00435151" w:rsidP="00856077">
      <w:pPr>
        <w:ind w:left="708" w:firstLine="3"/>
        <w:jc w:val="both"/>
        <w:rPr>
          <w:sz w:val="24"/>
        </w:rPr>
      </w:pPr>
      <w:r w:rsidRPr="0090150D">
        <w:rPr>
          <w:sz w:val="24"/>
        </w:rPr>
        <w:t>Nevdechovat dým. Při hašení zabránit úniku směsi do půdy, vod a kanalizace. Produkt při požáru je nutné odstranit ze zasažené oblasti. Uzavřený kontejner v hořící zóně chladit velkým množstvím vody. Hasit vždy po větru.</w:t>
      </w:r>
      <w:r w:rsidR="00856077" w:rsidRPr="0090150D">
        <w:rPr>
          <w:sz w:val="24"/>
        </w:rPr>
        <w:t xml:space="preserve"> </w:t>
      </w:r>
      <w:r w:rsidRPr="0090150D">
        <w:rPr>
          <w:sz w:val="24"/>
        </w:rPr>
        <w:t>Zabránit úniku</w:t>
      </w:r>
      <w:r w:rsidR="00A5311C" w:rsidRPr="0090150D">
        <w:rPr>
          <w:sz w:val="24"/>
        </w:rPr>
        <w:t xml:space="preserve"> </w:t>
      </w:r>
      <w:r w:rsidRPr="0090150D">
        <w:rPr>
          <w:sz w:val="24"/>
        </w:rPr>
        <w:t>hasící</w:t>
      </w:r>
      <w:r w:rsidR="00A5311C" w:rsidRPr="0090150D">
        <w:rPr>
          <w:sz w:val="24"/>
        </w:rPr>
        <w:t xml:space="preserve"> </w:t>
      </w:r>
      <w:r w:rsidRPr="0090150D">
        <w:rPr>
          <w:sz w:val="24"/>
        </w:rPr>
        <w:t>vody</w:t>
      </w:r>
      <w:r w:rsidR="00A5311C" w:rsidRPr="0090150D">
        <w:rPr>
          <w:sz w:val="24"/>
        </w:rPr>
        <w:t xml:space="preserve"> </w:t>
      </w:r>
      <w:r w:rsidRPr="0090150D">
        <w:rPr>
          <w:sz w:val="24"/>
        </w:rPr>
        <w:t>s </w:t>
      </w:r>
      <w:r w:rsidR="00A5311C" w:rsidRPr="0090150D">
        <w:rPr>
          <w:sz w:val="24"/>
        </w:rPr>
        <w:t xml:space="preserve"> </w:t>
      </w:r>
      <w:r w:rsidRPr="0090150D">
        <w:rPr>
          <w:sz w:val="24"/>
        </w:rPr>
        <w:t>produktem do kanalizací,</w:t>
      </w:r>
      <w:r w:rsidR="00A5311C" w:rsidRPr="0090150D">
        <w:rPr>
          <w:sz w:val="24"/>
        </w:rPr>
        <w:t xml:space="preserve"> vod </w:t>
      </w:r>
      <w:r w:rsidR="00856077" w:rsidRPr="0090150D">
        <w:rPr>
          <w:sz w:val="24"/>
        </w:rPr>
        <w:t xml:space="preserve">podzemních a </w:t>
      </w:r>
      <w:r w:rsidRPr="0090150D">
        <w:rPr>
          <w:sz w:val="24"/>
        </w:rPr>
        <w:t>povrchových.</w:t>
      </w:r>
    </w:p>
    <w:p w:rsidR="00435151" w:rsidRPr="0090150D" w:rsidRDefault="00435151" w:rsidP="00435151">
      <w:pPr>
        <w:numPr>
          <w:ilvl w:val="1"/>
          <w:numId w:val="5"/>
        </w:numPr>
        <w:jc w:val="both"/>
        <w:rPr>
          <w:b/>
          <w:sz w:val="24"/>
        </w:rPr>
      </w:pPr>
      <w:r w:rsidRPr="0090150D">
        <w:rPr>
          <w:b/>
          <w:sz w:val="24"/>
        </w:rPr>
        <w:tab/>
        <w:t>Pokyny pro hasiče:</w:t>
      </w:r>
    </w:p>
    <w:p w:rsidR="00435151" w:rsidRPr="0090150D" w:rsidRDefault="00435151" w:rsidP="00435151">
      <w:pPr>
        <w:ind w:firstLine="420"/>
        <w:jc w:val="both"/>
        <w:rPr>
          <w:sz w:val="24"/>
        </w:rPr>
      </w:pPr>
      <w:r w:rsidRPr="0090150D">
        <w:rPr>
          <w:b/>
          <w:sz w:val="24"/>
        </w:rPr>
        <w:tab/>
      </w:r>
      <w:r w:rsidRPr="0090150D">
        <w:rPr>
          <w:sz w:val="24"/>
        </w:rPr>
        <w:t>Dýchací přístroj, ochranný oděv.</w:t>
      </w:r>
    </w:p>
    <w:p w:rsidR="00435151" w:rsidRPr="0090150D" w:rsidRDefault="00435151" w:rsidP="00BC3490">
      <w:pPr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90150D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90150D" w:rsidRDefault="00435151" w:rsidP="00435151">
            <w:pPr>
              <w:ind w:left="180"/>
              <w:rPr>
                <w:sz w:val="24"/>
              </w:rPr>
            </w:pPr>
            <w:r w:rsidRPr="0090150D">
              <w:rPr>
                <w:b/>
                <w:sz w:val="24"/>
              </w:rPr>
              <w:t>ODDÍL 6  OPATŘENÍ V PŘÍPADÉ NÁHODNÉHO ÚNIKU</w:t>
            </w:r>
          </w:p>
        </w:tc>
      </w:tr>
    </w:tbl>
    <w:p w:rsidR="00435151" w:rsidRPr="00A5311C" w:rsidRDefault="00435151" w:rsidP="00435151">
      <w:pPr>
        <w:ind w:left="420"/>
        <w:jc w:val="both"/>
      </w:pPr>
    </w:p>
    <w:p w:rsidR="00435151" w:rsidRPr="0090150D" w:rsidRDefault="00435151" w:rsidP="00435151">
      <w:pPr>
        <w:numPr>
          <w:ilvl w:val="1"/>
          <w:numId w:val="6"/>
        </w:numPr>
        <w:jc w:val="both"/>
        <w:rPr>
          <w:b/>
          <w:sz w:val="24"/>
        </w:rPr>
      </w:pPr>
      <w:r w:rsidRPr="007B2FAE">
        <w:rPr>
          <w:b/>
          <w:sz w:val="24"/>
        </w:rPr>
        <w:tab/>
      </w:r>
      <w:r w:rsidRPr="0090150D">
        <w:rPr>
          <w:b/>
          <w:sz w:val="24"/>
        </w:rPr>
        <w:t xml:space="preserve">Opatření na ochranu osob, ochranné prostředky a nouzové postupy: </w:t>
      </w:r>
    </w:p>
    <w:p w:rsidR="00435151" w:rsidRPr="0090150D" w:rsidRDefault="00435151" w:rsidP="00435151">
      <w:pPr>
        <w:ind w:left="360"/>
        <w:jc w:val="both"/>
        <w:rPr>
          <w:sz w:val="24"/>
        </w:rPr>
      </w:pPr>
      <w:r w:rsidRPr="0090150D">
        <w:rPr>
          <w:sz w:val="24"/>
        </w:rPr>
        <w:tab/>
        <w:t xml:space="preserve">Nevdechovat aerosoly koncentrátu. Nevdechovat výpary či zplodiny, uvolňované </w:t>
      </w:r>
      <w:r w:rsidRPr="0090150D">
        <w:rPr>
          <w:sz w:val="24"/>
        </w:rPr>
        <w:tab/>
        <w:t xml:space="preserve">z hořícího, či přehřátého produktu.  </w:t>
      </w:r>
      <w:r w:rsidR="00462544" w:rsidRPr="0090150D">
        <w:rPr>
          <w:sz w:val="24"/>
        </w:rPr>
        <w:t>V</w:t>
      </w:r>
      <w:r w:rsidR="007B2FAE" w:rsidRPr="0090150D">
        <w:rPr>
          <w:sz w:val="24"/>
        </w:rPr>
        <w:t>yvarovat se styku s kůží a očima.</w:t>
      </w:r>
    </w:p>
    <w:p w:rsidR="00435151" w:rsidRPr="0090150D" w:rsidRDefault="00435151" w:rsidP="00435151">
      <w:pPr>
        <w:numPr>
          <w:ilvl w:val="1"/>
          <w:numId w:val="6"/>
        </w:numPr>
        <w:jc w:val="both"/>
        <w:rPr>
          <w:b/>
          <w:sz w:val="24"/>
        </w:rPr>
      </w:pPr>
      <w:r w:rsidRPr="0090150D">
        <w:rPr>
          <w:b/>
          <w:sz w:val="24"/>
        </w:rPr>
        <w:tab/>
        <w:t>Opatření na ochranu životního prostředí:</w:t>
      </w:r>
    </w:p>
    <w:p w:rsidR="00435151" w:rsidRPr="0090150D" w:rsidRDefault="00435151" w:rsidP="00435151">
      <w:pPr>
        <w:pStyle w:val="Zkladntextodsazen2"/>
        <w:jc w:val="both"/>
      </w:pPr>
      <w:r w:rsidRPr="0090150D">
        <w:tab/>
        <w:t xml:space="preserve">Zabránit kontaminaci vody a zeminy koncentrátem. Zabránit vniknutí do srážkové a </w:t>
      </w:r>
      <w:r w:rsidRPr="0090150D">
        <w:tab/>
        <w:t xml:space="preserve">veřejné kanalizace. Při větším úniku informovat příslušný vodoprávní úřad, respektive </w:t>
      </w:r>
      <w:r w:rsidRPr="0090150D">
        <w:tab/>
        <w:t xml:space="preserve">provozovatele kanalizace.  </w:t>
      </w:r>
    </w:p>
    <w:p w:rsidR="00435151" w:rsidRPr="0090150D" w:rsidRDefault="00435151" w:rsidP="00435151">
      <w:pPr>
        <w:numPr>
          <w:ilvl w:val="1"/>
          <w:numId w:val="6"/>
        </w:numPr>
        <w:jc w:val="both"/>
        <w:rPr>
          <w:b/>
          <w:sz w:val="24"/>
        </w:rPr>
      </w:pPr>
      <w:r w:rsidRPr="0090150D">
        <w:rPr>
          <w:b/>
          <w:sz w:val="24"/>
        </w:rPr>
        <w:tab/>
        <w:t>Metody a materiál pro omezení úniku a pro čištění:</w:t>
      </w:r>
    </w:p>
    <w:p w:rsidR="00435151" w:rsidRPr="0090150D" w:rsidRDefault="00435151" w:rsidP="00FA1E67">
      <w:pPr>
        <w:ind w:left="708" w:firstLine="3"/>
        <w:jc w:val="both"/>
        <w:rPr>
          <w:sz w:val="24"/>
        </w:rPr>
      </w:pPr>
      <w:r w:rsidRPr="0090150D">
        <w:rPr>
          <w:sz w:val="24"/>
        </w:rPr>
        <w:t>Odstranění malého množství setření suchým hadrem, případně spláchnutím vodou, jinak odstranění pevným sorbentem; spalovna odpadů (vermikulit, křemelina, písek, apod.). Vermikulit-[(Mg,</w:t>
      </w:r>
      <w:r w:rsidR="00FA1E67" w:rsidRPr="0090150D">
        <w:rPr>
          <w:sz w:val="24"/>
        </w:rPr>
        <w:t xml:space="preserve"> </w:t>
      </w:r>
      <w:r w:rsidRPr="0090150D">
        <w:rPr>
          <w:sz w:val="24"/>
        </w:rPr>
        <w:t>Fe,</w:t>
      </w:r>
      <w:r w:rsidR="00FA1E67" w:rsidRPr="0090150D">
        <w:rPr>
          <w:sz w:val="24"/>
        </w:rPr>
        <w:t xml:space="preserve"> </w:t>
      </w:r>
      <w:r w:rsidRPr="0090150D">
        <w:rPr>
          <w:sz w:val="24"/>
        </w:rPr>
        <w:t>Al)</w:t>
      </w:r>
      <w:r w:rsidRPr="0090150D">
        <w:rPr>
          <w:sz w:val="24"/>
          <w:vertAlign w:val="subscript"/>
        </w:rPr>
        <w:t xml:space="preserve">3 </w:t>
      </w:r>
      <w:r w:rsidRPr="0090150D">
        <w:rPr>
          <w:sz w:val="24"/>
        </w:rPr>
        <w:t>(AlSi)</w:t>
      </w:r>
      <w:r w:rsidRPr="0090150D">
        <w:rPr>
          <w:sz w:val="24"/>
          <w:vertAlign w:val="subscript"/>
        </w:rPr>
        <w:t>4</w:t>
      </w:r>
      <w:r w:rsidRPr="0090150D">
        <w:rPr>
          <w:sz w:val="24"/>
        </w:rPr>
        <w:t>O</w:t>
      </w:r>
      <w:r w:rsidRPr="0090150D">
        <w:rPr>
          <w:sz w:val="24"/>
          <w:vertAlign w:val="subscript"/>
        </w:rPr>
        <w:t>10</w:t>
      </w:r>
      <w:r w:rsidRPr="0090150D">
        <w:rPr>
          <w:sz w:val="24"/>
        </w:rPr>
        <w:t>(OH)</w:t>
      </w:r>
      <w:r w:rsidRPr="0090150D">
        <w:rPr>
          <w:sz w:val="24"/>
          <w:vertAlign w:val="subscript"/>
        </w:rPr>
        <w:t>2</w:t>
      </w:r>
      <w:r w:rsidRPr="0090150D">
        <w:rPr>
          <w:sz w:val="24"/>
        </w:rPr>
        <w:t>. 2H</w:t>
      </w:r>
      <w:r w:rsidRPr="0090150D">
        <w:rPr>
          <w:sz w:val="24"/>
          <w:vertAlign w:val="subscript"/>
        </w:rPr>
        <w:t>2</w:t>
      </w:r>
      <w:r w:rsidRPr="0090150D">
        <w:rPr>
          <w:sz w:val="24"/>
        </w:rPr>
        <w:t>O]. Sorbent se směsí umístit do zvláštní nádoby. Nepoužívat organická rozpouštědla.</w:t>
      </w:r>
    </w:p>
    <w:p w:rsidR="00435151" w:rsidRPr="0090150D" w:rsidRDefault="00435151" w:rsidP="00435151">
      <w:pPr>
        <w:numPr>
          <w:ilvl w:val="1"/>
          <w:numId w:val="6"/>
        </w:numPr>
        <w:jc w:val="both"/>
        <w:rPr>
          <w:b/>
          <w:sz w:val="24"/>
        </w:rPr>
      </w:pPr>
      <w:r w:rsidRPr="0090150D">
        <w:rPr>
          <w:b/>
          <w:sz w:val="24"/>
        </w:rPr>
        <w:tab/>
        <w:t>Odkaz na jiné oddíly:</w:t>
      </w:r>
    </w:p>
    <w:p w:rsidR="00435151" w:rsidRPr="0090150D" w:rsidRDefault="00435151" w:rsidP="00435151">
      <w:pPr>
        <w:ind w:left="420"/>
        <w:jc w:val="both"/>
        <w:rPr>
          <w:sz w:val="24"/>
          <w:szCs w:val="24"/>
        </w:rPr>
      </w:pPr>
      <w:r w:rsidRPr="0090150D">
        <w:rPr>
          <w:sz w:val="24"/>
          <w:szCs w:val="24"/>
        </w:rPr>
        <w:tab/>
        <w:t xml:space="preserve">Viz dále pokyny oddíl 7, </w:t>
      </w:r>
      <w:smartTag w:uri="urn:schemas-microsoft-com:office:smarttags" w:element="metricconverter">
        <w:smartTagPr>
          <w:attr w:name="ProductID" w:val="8 a"/>
        </w:smartTagPr>
        <w:r w:rsidRPr="0090150D">
          <w:rPr>
            <w:sz w:val="24"/>
            <w:szCs w:val="24"/>
          </w:rPr>
          <w:t>8 a</w:t>
        </w:r>
      </w:smartTag>
      <w:r w:rsidRPr="0090150D">
        <w:rPr>
          <w:sz w:val="24"/>
          <w:szCs w:val="24"/>
        </w:rPr>
        <w:t xml:space="preserve"> 13.</w:t>
      </w:r>
    </w:p>
    <w:p w:rsidR="00435151" w:rsidRDefault="00435151" w:rsidP="00BC3490">
      <w:pPr>
        <w:rPr>
          <w:color w:val="FF0000"/>
          <w:sz w:val="24"/>
        </w:rPr>
      </w:pPr>
      <w:r w:rsidRPr="00856077">
        <w:rPr>
          <w:color w:val="FF0000"/>
          <w:sz w:val="24"/>
        </w:rPr>
        <w:tab/>
      </w:r>
    </w:p>
    <w:p w:rsidR="0090150D" w:rsidRPr="00856077" w:rsidRDefault="0090150D" w:rsidP="00BC3490">
      <w:pPr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7B2FA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7B2FAE" w:rsidRDefault="00435151" w:rsidP="00435151">
            <w:pPr>
              <w:ind w:left="180"/>
              <w:rPr>
                <w:b/>
                <w:sz w:val="24"/>
              </w:rPr>
            </w:pPr>
            <w:r w:rsidRPr="007B2FAE">
              <w:rPr>
                <w:b/>
                <w:sz w:val="24"/>
              </w:rPr>
              <w:lastRenderedPageBreak/>
              <w:t xml:space="preserve">ODDÍL 7  ZACHÁZENÍ A SKLADOVÁNÍ </w:t>
            </w:r>
          </w:p>
        </w:tc>
      </w:tr>
    </w:tbl>
    <w:p w:rsidR="00435151" w:rsidRPr="007B2FAE" w:rsidRDefault="00435151" w:rsidP="00435151">
      <w:pPr>
        <w:pStyle w:val="Zkladntext"/>
        <w:ind w:left="426"/>
      </w:pPr>
    </w:p>
    <w:p w:rsidR="00435151" w:rsidRPr="0090150D" w:rsidRDefault="00435151" w:rsidP="00435151">
      <w:pPr>
        <w:numPr>
          <w:ilvl w:val="1"/>
          <w:numId w:val="7"/>
        </w:numPr>
        <w:tabs>
          <w:tab w:val="num" w:pos="720"/>
        </w:tabs>
        <w:ind w:left="720" w:hanging="720"/>
        <w:jc w:val="both"/>
        <w:rPr>
          <w:b/>
          <w:sz w:val="24"/>
          <w:szCs w:val="24"/>
        </w:rPr>
      </w:pPr>
      <w:r w:rsidRPr="0090150D">
        <w:rPr>
          <w:b/>
          <w:sz w:val="24"/>
          <w:szCs w:val="24"/>
        </w:rPr>
        <w:t>Opatření pro bezpečné zacházení:</w:t>
      </w:r>
    </w:p>
    <w:p w:rsidR="00435151" w:rsidRPr="0090150D" w:rsidRDefault="00435151" w:rsidP="00435151">
      <w:pPr>
        <w:pStyle w:val="Zkladntext"/>
        <w:ind w:left="426"/>
      </w:pPr>
      <w:r w:rsidRPr="0090150D">
        <w:tab/>
        <w:t xml:space="preserve">Přepravovat a manipulovat pouze v původních obalech. Vyhnout se vdechování par a </w:t>
      </w:r>
      <w:r w:rsidRPr="0090150D">
        <w:tab/>
        <w:t xml:space="preserve">aerosolů zahřátého produktu. V případě nehody, či </w:t>
      </w:r>
      <w:r w:rsidRPr="0090150D">
        <w:tab/>
        <w:t xml:space="preserve">nevolnosti vyhledat okamžitě </w:t>
      </w:r>
      <w:r w:rsidRPr="0090150D">
        <w:tab/>
        <w:t xml:space="preserve">lékařskou pomoc. </w:t>
      </w:r>
    </w:p>
    <w:p w:rsidR="00435151" w:rsidRPr="0090150D" w:rsidRDefault="00435151" w:rsidP="00435151">
      <w:pPr>
        <w:numPr>
          <w:ilvl w:val="1"/>
          <w:numId w:val="7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90150D">
        <w:rPr>
          <w:b/>
          <w:sz w:val="24"/>
        </w:rPr>
        <w:t>Podmínky pro bezpečné skladování látek a směsí, včetně neslučitelných látek a směsí:</w:t>
      </w:r>
    </w:p>
    <w:p w:rsidR="00435151" w:rsidRPr="0090150D" w:rsidRDefault="00435151" w:rsidP="00435151">
      <w:pPr>
        <w:ind w:left="360"/>
        <w:jc w:val="both"/>
        <w:rPr>
          <w:sz w:val="24"/>
        </w:rPr>
      </w:pPr>
      <w:r w:rsidRPr="0090150D">
        <w:rPr>
          <w:sz w:val="24"/>
        </w:rPr>
        <w:tab/>
        <w:t xml:space="preserve">Obal uchovávat těsně uzavřený a suchý. Ve skladovacích a manipulačních prostorách </w:t>
      </w:r>
      <w:r w:rsidRPr="0090150D">
        <w:rPr>
          <w:sz w:val="24"/>
        </w:rPr>
        <w:tab/>
        <w:t xml:space="preserve">musí být k dispozici prostředky pro první pomoc, zejména při zasažení očí. </w:t>
      </w:r>
      <w:r w:rsidR="007B2FAE" w:rsidRPr="0090150D">
        <w:rPr>
          <w:sz w:val="24"/>
        </w:rPr>
        <w:t xml:space="preserve">Produkt </w:t>
      </w:r>
      <w:r w:rsidR="007B2FAE" w:rsidRPr="0090150D">
        <w:rPr>
          <w:sz w:val="24"/>
        </w:rPr>
        <w:tab/>
        <w:t>nesmí zmrznout, ani se přehřát.</w:t>
      </w:r>
    </w:p>
    <w:p w:rsidR="00435151" w:rsidRPr="0090150D" w:rsidRDefault="00435151" w:rsidP="00435151">
      <w:pPr>
        <w:numPr>
          <w:ilvl w:val="1"/>
          <w:numId w:val="7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90150D">
        <w:rPr>
          <w:b/>
          <w:sz w:val="24"/>
        </w:rPr>
        <w:t>Specifické konečné/specifická konečná použití:</w:t>
      </w:r>
    </w:p>
    <w:p w:rsidR="00435151" w:rsidRPr="0090150D" w:rsidRDefault="00435151" w:rsidP="00435151">
      <w:pPr>
        <w:rPr>
          <w:sz w:val="24"/>
          <w:szCs w:val="24"/>
        </w:rPr>
      </w:pPr>
      <w:r w:rsidRPr="0090150D">
        <w:rPr>
          <w:sz w:val="24"/>
        </w:rPr>
        <w:tab/>
      </w:r>
      <w:r w:rsidR="004440D8" w:rsidRPr="0090150D">
        <w:rPr>
          <w:sz w:val="24"/>
        </w:rPr>
        <w:t>Čisticí</w:t>
      </w:r>
      <w:r w:rsidRPr="0090150D">
        <w:rPr>
          <w:sz w:val="24"/>
        </w:rPr>
        <w:t xml:space="preserve"> prostředek </w:t>
      </w:r>
      <w:r w:rsidR="007B2FAE" w:rsidRPr="0090150D">
        <w:rPr>
          <w:sz w:val="24"/>
        </w:rPr>
        <w:t>pro průmyslové užití – mytí oken.</w:t>
      </w:r>
      <w:r w:rsidRPr="0090150D">
        <w:rPr>
          <w:sz w:val="24"/>
          <w:szCs w:val="24"/>
        </w:rPr>
        <w:t xml:space="preserve"> Je dodáván jako koncentrát.</w:t>
      </w:r>
    </w:p>
    <w:p w:rsidR="00BC3490" w:rsidRPr="0090150D" w:rsidRDefault="00BC3490" w:rsidP="0043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561C08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561C08" w:rsidRDefault="00435151" w:rsidP="00435151">
            <w:pPr>
              <w:ind w:left="180"/>
              <w:rPr>
                <w:b/>
                <w:sz w:val="24"/>
              </w:rPr>
            </w:pPr>
            <w:r w:rsidRPr="00561C08">
              <w:rPr>
                <w:b/>
                <w:caps/>
                <w:sz w:val="24"/>
              </w:rPr>
              <w:t>ODDÍL 8 omezování expozice/OSOBNÍ OCHRANNÉ PROSTŘEDKY</w:t>
            </w:r>
          </w:p>
        </w:tc>
      </w:tr>
    </w:tbl>
    <w:p w:rsidR="00435151" w:rsidRPr="00561C08" w:rsidRDefault="00435151" w:rsidP="00435151"/>
    <w:p w:rsidR="00435151" w:rsidRPr="00561C08" w:rsidRDefault="00435151" w:rsidP="00435151">
      <w:pPr>
        <w:numPr>
          <w:ilvl w:val="1"/>
          <w:numId w:val="8"/>
        </w:numPr>
        <w:jc w:val="both"/>
        <w:rPr>
          <w:b/>
          <w:sz w:val="24"/>
        </w:rPr>
      </w:pPr>
      <w:r w:rsidRPr="00561C08">
        <w:rPr>
          <w:b/>
          <w:sz w:val="24"/>
        </w:rPr>
        <w:t>Kontrolní parametry - nestanoveny</w:t>
      </w:r>
    </w:p>
    <w:p w:rsidR="00435151" w:rsidRPr="00561C08" w:rsidRDefault="00435151" w:rsidP="00435151">
      <w:pPr>
        <w:ind w:left="360"/>
        <w:jc w:val="both"/>
      </w:pPr>
      <w:r w:rsidRPr="00561C08">
        <w:t xml:space="preserve">Poznámka: (Přípustný expoziční limit – PEL; Nejvyšší přípustná koncentrace – NPK-P; nař. vlády č. </w:t>
      </w:r>
      <w:r w:rsidRPr="00561C08">
        <w:tab/>
        <w:t xml:space="preserve">361/07 Sb., ve znění pozdějších </w:t>
      </w:r>
      <w:r w:rsidR="004440D8" w:rsidRPr="00561C08">
        <w:t>předpisů).</w:t>
      </w:r>
      <w:r w:rsidRPr="00561C08">
        <w:t xml:space="preserve"> </w:t>
      </w:r>
    </w:p>
    <w:p w:rsidR="00435151" w:rsidRPr="00561C08" w:rsidRDefault="00435151" w:rsidP="0090150D">
      <w:pPr>
        <w:ind w:firstLine="360"/>
        <w:jc w:val="both"/>
      </w:pPr>
      <w:r w:rsidRPr="00561C08">
        <w:t>Poznámka: V případě, že je produkt používán standardním způsobem, nejsou kontrolní opatření nutná.</w:t>
      </w:r>
    </w:p>
    <w:p w:rsidR="00435151" w:rsidRPr="00561C08" w:rsidRDefault="00435151" w:rsidP="00435151">
      <w:pPr>
        <w:jc w:val="both"/>
      </w:pPr>
    </w:p>
    <w:p w:rsidR="00435151" w:rsidRPr="00561C08" w:rsidRDefault="00435151" w:rsidP="00435151">
      <w:pPr>
        <w:numPr>
          <w:ilvl w:val="1"/>
          <w:numId w:val="9"/>
        </w:numPr>
        <w:rPr>
          <w:b/>
          <w:sz w:val="24"/>
        </w:rPr>
      </w:pPr>
      <w:r w:rsidRPr="00561C08">
        <w:rPr>
          <w:b/>
          <w:sz w:val="24"/>
        </w:rPr>
        <w:t>Omezování expozice</w:t>
      </w:r>
    </w:p>
    <w:p w:rsidR="00435151" w:rsidRPr="00561C08" w:rsidRDefault="00435151" w:rsidP="00435151">
      <w:pPr>
        <w:numPr>
          <w:ilvl w:val="2"/>
          <w:numId w:val="10"/>
        </w:numPr>
        <w:jc w:val="both"/>
        <w:rPr>
          <w:b/>
          <w:sz w:val="24"/>
        </w:rPr>
      </w:pPr>
      <w:r w:rsidRPr="00561C08">
        <w:rPr>
          <w:b/>
          <w:sz w:val="24"/>
        </w:rPr>
        <w:t>Omezování expozice pracovníků</w:t>
      </w:r>
    </w:p>
    <w:p w:rsidR="00435151" w:rsidRPr="00561C08" w:rsidRDefault="00435151" w:rsidP="00435151">
      <w:pPr>
        <w:ind w:left="1080"/>
        <w:jc w:val="both"/>
        <w:rPr>
          <w:sz w:val="24"/>
        </w:rPr>
      </w:pPr>
      <w:r w:rsidRPr="00561C08">
        <w:rPr>
          <w:sz w:val="24"/>
        </w:rPr>
        <w:t xml:space="preserve">Zákaz kouření, skladování potravin a stravování v prostorách nakládání s produktem - koncentrátem. </w:t>
      </w:r>
      <w:r w:rsidR="00A77C66" w:rsidRPr="00561C08">
        <w:rPr>
          <w:sz w:val="24"/>
        </w:rPr>
        <w:t>Kontaminovaný oblek před použitím vyperte.</w:t>
      </w:r>
    </w:p>
    <w:p w:rsidR="00435151" w:rsidRPr="00561C08" w:rsidRDefault="00435151" w:rsidP="00435151">
      <w:pPr>
        <w:pStyle w:val="Zkladntextodsazen"/>
        <w:ind w:left="1080"/>
        <w:jc w:val="both"/>
        <w:rPr>
          <w:sz w:val="24"/>
          <w:szCs w:val="24"/>
        </w:rPr>
      </w:pPr>
      <w:r w:rsidRPr="00561C08">
        <w:rPr>
          <w:b/>
          <w:sz w:val="24"/>
          <w:szCs w:val="24"/>
        </w:rPr>
        <w:t>8.2.2.1</w:t>
      </w:r>
      <w:r w:rsidRPr="00561C08">
        <w:rPr>
          <w:sz w:val="24"/>
          <w:szCs w:val="24"/>
        </w:rPr>
        <w:t xml:space="preserve"> </w:t>
      </w:r>
      <w:r w:rsidRPr="00561C08">
        <w:rPr>
          <w:b/>
          <w:sz w:val="24"/>
          <w:szCs w:val="24"/>
        </w:rPr>
        <w:t>Ochrana dýchacích orgánů</w:t>
      </w:r>
    </w:p>
    <w:p w:rsidR="00435151" w:rsidRPr="00561C08" w:rsidRDefault="00435151" w:rsidP="00435151">
      <w:pPr>
        <w:pStyle w:val="Zkladntextodsazen3"/>
        <w:ind w:left="1080"/>
        <w:jc w:val="both"/>
        <w:rPr>
          <w:szCs w:val="24"/>
        </w:rPr>
      </w:pPr>
      <w:r w:rsidRPr="00561C08">
        <w:rPr>
          <w:szCs w:val="24"/>
        </w:rPr>
        <w:t>Není požadována. Pokud nastanou problémy při práci s koncentrátem, vynést postiženého na čerstvý vzduch a přivolat lékařskou pomoc.</w:t>
      </w:r>
    </w:p>
    <w:p w:rsidR="00435151" w:rsidRPr="00561C08" w:rsidRDefault="00435151" w:rsidP="00435151">
      <w:pPr>
        <w:ind w:left="708" w:firstLine="372"/>
        <w:rPr>
          <w:b/>
          <w:sz w:val="24"/>
          <w:szCs w:val="24"/>
        </w:rPr>
      </w:pPr>
      <w:r w:rsidRPr="00561C08">
        <w:rPr>
          <w:b/>
          <w:sz w:val="24"/>
          <w:szCs w:val="24"/>
        </w:rPr>
        <w:t>8.2.1.2</w:t>
      </w:r>
      <w:r w:rsidRPr="00561C08">
        <w:rPr>
          <w:sz w:val="24"/>
          <w:szCs w:val="24"/>
        </w:rPr>
        <w:t xml:space="preserve"> </w:t>
      </w:r>
      <w:r w:rsidRPr="00561C08">
        <w:rPr>
          <w:b/>
          <w:sz w:val="24"/>
          <w:szCs w:val="24"/>
        </w:rPr>
        <w:t>Ochrana rukou</w:t>
      </w:r>
    </w:p>
    <w:p w:rsidR="00435151" w:rsidRPr="00561C08" w:rsidRDefault="00435151" w:rsidP="00435151">
      <w:pPr>
        <w:ind w:left="1080"/>
        <w:jc w:val="both"/>
        <w:rPr>
          <w:sz w:val="24"/>
        </w:rPr>
      </w:pPr>
      <w:r w:rsidRPr="00561C08">
        <w:rPr>
          <w:sz w:val="24"/>
        </w:rPr>
        <w:t xml:space="preserve">Vhodné ochranné rukavice, chemicky odolné (EN 374). Doporučuje se po každé </w:t>
      </w:r>
      <w:r w:rsidR="004440D8" w:rsidRPr="00561C08">
        <w:rPr>
          <w:sz w:val="24"/>
        </w:rPr>
        <w:t>kontaminaci produktem</w:t>
      </w:r>
      <w:r w:rsidRPr="00561C08">
        <w:rPr>
          <w:sz w:val="24"/>
        </w:rPr>
        <w:t xml:space="preserve"> důkladné omytí rukou a ošetření regeneračním krémem.</w:t>
      </w:r>
    </w:p>
    <w:p w:rsidR="00435151" w:rsidRPr="00561C08" w:rsidRDefault="00435151" w:rsidP="00435151">
      <w:pPr>
        <w:numPr>
          <w:ilvl w:val="3"/>
          <w:numId w:val="11"/>
        </w:numPr>
        <w:tabs>
          <w:tab w:val="num" w:pos="2844"/>
        </w:tabs>
        <w:jc w:val="both"/>
        <w:rPr>
          <w:b/>
          <w:sz w:val="24"/>
        </w:rPr>
      </w:pPr>
      <w:r w:rsidRPr="00561C08">
        <w:rPr>
          <w:b/>
          <w:sz w:val="24"/>
        </w:rPr>
        <w:t>Ochrana očí</w:t>
      </w:r>
    </w:p>
    <w:p w:rsidR="00435151" w:rsidRPr="00561C08" w:rsidRDefault="00435151" w:rsidP="00435151">
      <w:pPr>
        <w:ind w:left="1080" w:hanging="1080"/>
        <w:jc w:val="both"/>
        <w:rPr>
          <w:sz w:val="24"/>
        </w:rPr>
      </w:pPr>
      <w:r w:rsidRPr="00561C08">
        <w:rPr>
          <w:sz w:val="24"/>
        </w:rPr>
        <w:t xml:space="preserve"> </w:t>
      </w:r>
      <w:r w:rsidRPr="00561C08">
        <w:rPr>
          <w:sz w:val="24"/>
        </w:rPr>
        <w:tab/>
        <w:t xml:space="preserve">Při riziku zasažení očí koncentrátem použít obličejový štít, nebo ochranné brýle s postranicemi (EN166).   </w:t>
      </w:r>
    </w:p>
    <w:p w:rsidR="00435151" w:rsidRPr="00561C08" w:rsidRDefault="00435151" w:rsidP="00435151">
      <w:pPr>
        <w:numPr>
          <w:ilvl w:val="3"/>
          <w:numId w:val="11"/>
        </w:numPr>
        <w:jc w:val="both"/>
        <w:rPr>
          <w:b/>
          <w:sz w:val="24"/>
        </w:rPr>
      </w:pPr>
      <w:r w:rsidRPr="00561C08">
        <w:rPr>
          <w:b/>
          <w:sz w:val="24"/>
        </w:rPr>
        <w:t>Ochrana kůže</w:t>
      </w:r>
    </w:p>
    <w:p w:rsidR="00435151" w:rsidRPr="00561C08" w:rsidRDefault="00435151" w:rsidP="00435151">
      <w:pPr>
        <w:ind w:left="1080"/>
        <w:jc w:val="both"/>
        <w:rPr>
          <w:b/>
          <w:sz w:val="24"/>
        </w:rPr>
      </w:pPr>
      <w:r w:rsidRPr="00561C08">
        <w:rPr>
          <w:sz w:val="24"/>
        </w:rPr>
        <w:t>Není požadována. Doporučuje se pracovní oděv pro práci s koncentrátem.</w:t>
      </w:r>
    </w:p>
    <w:p w:rsidR="00435151" w:rsidRPr="00561C08" w:rsidRDefault="00435151" w:rsidP="00435151">
      <w:pPr>
        <w:numPr>
          <w:ilvl w:val="2"/>
          <w:numId w:val="11"/>
        </w:numPr>
        <w:tabs>
          <w:tab w:val="clear" w:pos="1440"/>
          <w:tab w:val="num" w:pos="1080"/>
        </w:tabs>
        <w:ind w:left="1080"/>
        <w:jc w:val="both"/>
        <w:rPr>
          <w:b/>
          <w:sz w:val="24"/>
        </w:rPr>
      </w:pPr>
      <w:r w:rsidRPr="00561C08">
        <w:rPr>
          <w:b/>
          <w:sz w:val="24"/>
        </w:rPr>
        <w:t>Omezování expozice životního prostředí</w:t>
      </w:r>
    </w:p>
    <w:p w:rsidR="00435151" w:rsidRPr="00561C08" w:rsidRDefault="00435151" w:rsidP="00435151">
      <w:pPr>
        <w:ind w:left="1134" w:hanging="1134"/>
        <w:jc w:val="both"/>
        <w:rPr>
          <w:sz w:val="24"/>
        </w:rPr>
      </w:pPr>
      <w:r w:rsidRPr="00561C08">
        <w:rPr>
          <w:sz w:val="24"/>
        </w:rPr>
        <w:t xml:space="preserve">                   Zamezit při manipulaci a nakládání se směsí možnosti úniku směsi do půdy, kanalizací, vod povrchových a podzemních. Při úniku méně jak </w:t>
      </w:r>
      <w:smartTag w:uri="urn:schemas-microsoft-com:office:smarttags" w:element="metricconverter">
        <w:smartTagPr>
          <w:attr w:name="ProductID" w:val="50 l"/>
        </w:smartTagPr>
        <w:r w:rsidRPr="00561C08">
          <w:rPr>
            <w:sz w:val="24"/>
          </w:rPr>
          <w:t>50 l</w:t>
        </w:r>
      </w:smartTag>
      <w:r w:rsidRPr="00561C08">
        <w:rPr>
          <w:sz w:val="24"/>
        </w:rPr>
        <w:t xml:space="preserve"> zajistit lokální zneškodnění.</w:t>
      </w:r>
    </w:p>
    <w:p w:rsidR="00435151" w:rsidRPr="008C569E" w:rsidRDefault="00BC3490" w:rsidP="00BC3490">
      <w:pPr>
        <w:rPr>
          <w:sz w:val="24"/>
        </w:rPr>
      </w:pPr>
      <w:r w:rsidRPr="00561C08">
        <w:rPr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C569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C569E" w:rsidRDefault="00435151" w:rsidP="00435151">
            <w:pPr>
              <w:ind w:left="180"/>
              <w:rPr>
                <w:b/>
                <w:caps/>
                <w:sz w:val="24"/>
              </w:rPr>
            </w:pPr>
            <w:r w:rsidRPr="008C569E">
              <w:rPr>
                <w:b/>
                <w:caps/>
                <w:sz w:val="24"/>
              </w:rPr>
              <w:t>ODDÍL 9  fyzikální a chemickÉ vlastnostI</w:t>
            </w:r>
          </w:p>
        </w:tc>
      </w:tr>
    </w:tbl>
    <w:p w:rsidR="00435151" w:rsidRPr="008C569E" w:rsidRDefault="00435151" w:rsidP="00435151">
      <w:pPr>
        <w:jc w:val="both"/>
        <w:rPr>
          <w:sz w:val="24"/>
        </w:rPr>
      </w:pPr>
    </w:p>
    <w:p w:rsidR="00435151" w:rsidRPr="00561C08" w:rsidRDefault="00435151" w:rsidP="00435151">
      <w:pPr>
        <w:numPr>
          <w:ilvl w:val="1"/>
          <w:numId w:val="12"/>
        </w:numPr>
        <w:tabs>
          <w:tab w:val="num" w:pos="360"/>
          <w:tab w:val="num" w:pos="720"/>
        </w:tabs>
        <w:ind w:left="720" w:hanging="720"/>
        <w:jc w:val="both"/>
        <w:rPr>
          <w:b/>
          <w:sz w:val="24"/>
          <w:szCs w:val="24"/>
        </w:rPr>
      </w:pPr>
      <w:r w:rsidRPr="008C569E">
        <w:rPr>
          <w:b/>
          <w:sz w:val="24"/>
        </w:rPr>
        <w:tab/>
        <w:t>Informace</w:t>
      </w:r>
      <w:r w:rsidRPr="00561C08">
        <w:rPr>
          <w:b/>
          <w:sz w:val="24"/>
        </w:rPr>
        <w:t xml:space="preserve"> o základních fyzikálních a chemických vlastnostech: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vzhled: kapalina; bezbarvá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zápach: charakteristický</w:t>
      </w:r>
      <w:r w:rsidR="004B3433" w:rsidRPr="00561C08">
        <w:t>, příjemný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prahová hodnota zápachu: neuvedeno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 xml:space="preserve">pH: </w:t>
      </w:r>
      <w:r w:rsidR="004B3433" w:rsidRPr="00561C08">
        <w:t>8,00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bod tání/tuhnutí: neuvedeno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počáteční bod varu a rozmezí bodu varu: neuvedeno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bod vzplanutí: neuvedeno</w:t>
      </w:r>
    </w:p>
    <w:p w:rsidR="00435151" w:rsidRPr="00561C08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561C08">
        <w:t>rychlost odpařování: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lastRenderedPageBreak/>
        <w:t>hořlavost: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horní/dolní mezní hodnoty hořlavosti nebo výbušnosti: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tlak páry: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hustota páry: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relativní hustota:</w:t>
      </w:r>
      <w:r w:rsidR="00462544" w:rsidRPr="008C569E">
        <w:t xml:space="preserve"> </w:t>
      </w:r>
      <w:r w:rsidRPr="008C569E">
        <w:t>10</w:t>
      </w:r>
      <w:r w:rsidR="004B3433" w:rsidRPr="008C569E">
        <w:t>1</w:t>
      </w:r>
      <w:r w:rsidRPr="008C569E">
        <w:t>0 kg.m</w:t>
      </w:r>
      <w:r w:rsidRPr="008C569E">
        <w:rPr>
          <w:vertAlign w:val="superscript"/>
        </w:rPr>
        <w:t>-3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rozpustnost: rozpustný ve vodě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rozdělovací koeficient: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teplota samovznícení: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teplota rozkladu: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viskozita: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výbušné vlastnosti: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oxidační vlastnosti: neuvedeno</w:t>
      </w:r>
    </w:p>
    <w:p w:rsidR="00435151" w:rsidRPr="008C569E" w:rsidRDefault="00435151" w:rsidP="00435151">
      <w:pPr>
        <w:numPr>
          <w:ilvl w:val="0"/>
          <w:numId w:val="13"/>
        </w:numPr>
        <w:tabs>
          <w:tab w:val="clear" w:pos="720"/>
          <w:tab w:val="num" w:pos="1080"/>
        </w:tabs>
        <w:ind w:firstLine="0"/>
        <w:jc w:val="both"/>
      </w:pPr>
      <w:r w:rsidRPr="008C569E">
        <w:t>obsah VOC: neuveden</w:t>
      </w:r>
    </w:p>
    <w:p w:rsidR="00435151" w:rsidRPr="008C569E" w:rsidRDefault="00435151" w:rsidP="00435151">
      <w:pPr>
        <w:numPr>
          <w:ilvl w:val="1"/>
          <w:numId w:val="12"/>
        </w:numPr>
        <w:tabs>
          <w:tab w:val="num" w:pos="360"/>
          <w:tab w:val="num" w:pos="720"/>
        </w:tabs>
        <w:ind w:left="720" w:hanging="720"/>
        <w:jc w:val="both"/>
        <w:rPr>
          <w:b/>
          <w:sz w:val="24"/>
          <w:szCs w:val="24"/>
        </w:rPr>
      </w:pPr>
      <w:r w:rsidRPr="008C569E">
        <w:rPr>
          <w:b/>
          <w:sz w:val="24"/>
        </w:rPr>
        <w:tab/>
        <w:t>Další informace:</w:t>
      </w:r>
    </w:p>
    <w:p w:rsidR="00435151" w:rsidRPr="008C569E" w:rsidRDefault="00435151" w:rsidP="00435151">
      <w:pPr>
        <w:ind w:left="426" w:firstLine="282"/>
        <w:jc w:val="both"/>
        <w:rPr>
          <w:sz w:val="22"/>
          <w:szCs w:val="22"/>
        </w:rPr>
      </w:pPr>
      <w:r w:rsidRPr="008C569E">
        <w:rPr>
          <w:sz w:val="22"/>
          <w:szCs w:val="22"/>
        </w:rPr>
        <w:t xml:space="preserve">Nebyly předloženy zprávy o chemické bezpečnosti. (CSR – chemical safety report) výrobců </w:t>
      </w:r>
      <w:r w:rsidR="004B3433" w:rsidRPr="008C569E">
        <w:rPr>
          <w:sz w:val="22"/>
          <w:szCs w:val="22"/>
        </w:rPr>
        <w:tab/>
      </w:r>
      <w:r w:rsidRPr="008C569E">
        <w:rPr>
          <w:sz w:val="22"/>
          <w:szCs w:val="22"/>
        </w:rPr>
        <w:t>chemických látek.</w:t>
      </w:r>
    </w:p>
    <w:p w:rsidR="00435151" w:rsidRPr="008C569E" w:rsidRDefault="00435151" w:rsidP="004351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C569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C569E" w:rsidRDefault="00435151" w:rsidP="00435151">
            <w:pPr>
              <w:ind w:left="180"/>
              <w:rPr>
                <w:b/>
                <w:sz w:val="24"/>
              </w:rPr>
            </w:pPr>
            <w:r w:rsidRPr="008C569E">
              <w:rPr>
                <w:b/>
                <w:caps/>
                <w:sz w:val="24"/>
              </w:rPr>
              <w:t>ODDÍL 10  STÁLOST A REAKTIVITA</w:t>
            </w:r>
          </w:p>
        </w:tc>
      </w:tr>
    </w:tbl>
    <w:p w:rsidR="00435151" w:rsidRPr="008C569E" w:rsidRDefault="00435151" w:rsidP="00435151"/>
    <w:p w:rsidR="00435151" w:rsidRPr="008C569E" w:rsidRDefault="00435151" w:rsidP="00435151">
      <w:pPr>
        <w:numPr>
          <w:ilvl w:val="1"/>
          <w:numId w:val="14"/>
        </w:numPr>
        <w:tabs>
          <w:tab w:val="num" w:pos="720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>Reaktivita:</w:t>
      </w:r>
    </w:p>
    <w:p w:rsidR="00435151" w:rsidRPr="008C569E" w:rsidRDefault="00435151" w:rsidP="00435151">
      <w:pPr>
        <w:pStyle w:val="Zkladntextodsazen2"/>
        <w:ind w:left="708"/>
      </w:pPr>
      <w:r w:rsidRPr="008C569E">
        <w:t>Nejsou údaje.</w:t>
      </w:r>
    </w:p>
    <w:p w:rsidR="00435151" w:rsidRPr="008C569E" w:rsidRDefault="00435151" w:rsidP="00435151">
      <w:pPr>
        <w:numPr>
          <w:ilvl w:val="1"/>
          <w:numId w:val="14"/>
        </w:numPr>
        <w:tabs>
          <w:tab w:val="num" w:pos="567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ab/>
        <w:t>Chemická stabilita:</w:t>
      </w:r>
    </w:p>
    <w:p w:rsidR="00435151" w:rsidRPr="008C569E" w:rsidRDefault="00435151" w:rsidP="00435151">
      <w:pPr>
        <w:ind w:left="1608" w:hanging="900"/>
        <w:rPr>
          <w:sz w:val="24"/>
        </w:rPr>
      </w:pPr>
      <w:r w:rsidRPr="008C569E">
        <w:rPr>
          <w:sz w:val="24"/>
          <w:szCs w:val="24"/>
        </w:rPr>
        <w:t>Směs je za normálních podmínek stabilní</w:t>
      </w:r>
      <w:r w:rsidRPr="008C569E">
        <w:rPr>
          <w:sz w:val="24"/>
        </w:rPr>
        <w:t xml:space="preserve">. </w:t>
      </w:r>
    </w:p>
    <w:p w:rsidR="00435151" w:rsidRPr="008C569E" w:rsidRDefault="00435151" w:rsidP="00435151">
      <w:pPr>
        <w:numPr>
          <w:ilvl w:val="1"/>
          <w:numId w:val="14"/>
        </w:numPr>
        <w:tabs>
          <w:tab w:val="num" w:pos="720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>Možnost nebezpečných reakcí:</w:t>
      </w:r>
    </w:p>
    <w:p w:rsidR="00435151" w:rsidRPr="008C569E" w:rsidRDefault="00435151" w:rsidP="00435151">
      <w:pPr>
        <w:ind w:left="720" w:hanging="900"/>
        <w:rPr>
          <w:sz w:val="24"/>
        </w:rPr>
      </w:pPr>
      <w:r w:rsidRPr="008C569E">
        <w:rPr>
          <w:sz w:val="24"/>
        </w:rPr>
        <w:tab/>
        <w:t>Neuvedeno.</w:t>
      </w:r>
    </w:p>
    <w:p w:rsidR="00435151" w:rsidRPr="008C569E" w:rsidRDefault="00435151" w:rsidP="00435151">
      <w:pPr>
        <w:numPr>
          <w:ilvl w:val="1"/>
          <w:numId w:val="14"/>
        </w:numPr>
        <w:tabs>
          <w:tab w:val="num" w:pos="567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ab/>
        <w:t>Podmínky, kterým je třeba zabránit</w:t>
      </w:r>
    </w:p>
    <w:p w:rsidR="00435151" w:rsidRPr="008C569E" w:rsidRDefault="00435151" w:rsidP="00435151">
      <w:pPr>
        <w:pStyle w:val="Zkladntextodsazen2"/>
        <w:ind w:left="567"/>
        <w:jc w:val="both"/>
      </w:pPr>
      <w:r w:rsidRPr="008C569E">
        <w:tab/>
        <w:t>Vysoké teploty, přímé sluneční záření</w:t>
      </w:r>
      <w:r w:rsidR="004B3433" w:rsidRPr="008C569E">
        <w:t>, teploty pod bodem mrazu</w:t>
      </w:r>
      <w:r w:rsidRPr="008C569E">
        <w:t>.</w:t>
      </w:r>
    </w:p>
    <w:p w:rsidR="00435151" w:rsidRPr="008C569E" w:rsidRDefault="00435151" w:rsidP="00435151">
      <w:pPr>
        <w:numPr>
          <w:ilvl w:val="1"/>
          <w:numId w:val="14"/>
        </w:numPr>
        <w:tabs>
          <w:tab w:val="num" w:pos="567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ab/>
        <w:t>Neslučitelné materiály:</w:t>
      </w:r>
    </w:p>
    <w:p w:rsidR="00435151" w:rsidRPr="008C569E" w:rsidRDefault="00435151" w:rsidP="00435151">
      <w:pPr>
        <w:ind w:firstLine="540"/>
        <w:rPr>
          <w:sz w:val="24"/>
        </w:rPr>
      </w:pPr>
      <w:r w:rsidRPr="008C569E">
        <w:rPr>
          <w:sz w:val="24"/>
        </w:rPr>
        <w:tab/>
      </w:r>
      <w:r w:rsidR="004B3433" w:rsidRPr="008C569E">
        <w:rPr>
          <w:sz w:val="24"/>
        </w:rPr>
        <w:t>Silné k</w:t>
      </w:r>
      <w:r w:rsidRPr="008C569E">
        <w:rPr>
          <w:sz w:val="24"/>
        </w:rPr>
        <w:t>yseliny</w:t>
      </w:r>
      <w:r w:rsidR="004B3433" w:rsidRPr="008C569E">
        <w:rPr>
          <w:sz w:val="24"/>
        </w:rPr>
        <w:t xml:space="preserve"> a</w:t>
      </w:r>
      <w:r w:rsidRPr="008C569E">
        <w:rPr>
          <w:sz w:val="24"/>
        </w:rPr>
        <w:t xml:space="preserve"> zásady. Silná oxidační a redukční činidla.</w:t>
      </w:r>
    </w:p>
    <w:p w:rsidR="00435151" w:rsidRPr="008C569E" w:rsidRDefault="00435151" w:rsidP="00435151">
      <w:pPr>
        <w:numPr>
          <w:ilvl w:val="1"/>
          <w:numId w:val="14"/>
        </w:numPr>
        <w:tabs>
          <w:tab w:val="num" w:pos="567"/>
        </w:tabs>
        <w:ind w:left="720" w:hanging="720"/>
        <w:rPr>
          <w:b/>
          <w:sz w:val="24"/>
        </w:rPr>
      </w:pPr>
      <w:r w:rsidRPr="008C569E">
        <w:rPr>
          <w:b/>
          <w:sz w:val="24"/>
        </w:rPr>
        <w:tab/>
        <w:t>Nebezpečné produkty rozkladu:</w:t>
      </w:r>
    </w:p>
    <w:p w:rsidR="00435151" w:rsidRPr="008C569E" w:rsidRDefault="00435151" w:rsidP="00435151">
      <w:pPr>
        <w:ind w:left="567"/>
        <w:jc w:val="both"/>
        <w:rPr>
          <w:sz w:val="24"/>
        </w:rPr>
      </w:pPr>
      <w:r w:rsidRPr="008C569E">
        <w:rPr>
          <w:sz w:val="24"/>
        </w:rPr>
        <w:tab/>
        <w:t xml:space="preserve">Možný vývoj toxických plynů při požáru. </w:t>
      </w:r>
    </w:p>
    <w:p w:rsidR="00435151" w:rsidRPr="008C569E" w:rsidRDefault="00435151" w:rsidP="0043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4B3433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4B3433" w:rsidRDefault="00435151" w:rsidP="00435151">
            <w:pPr>
              <w:ind w:left="180"/>
              <w:rPr>
                <w:b/>
                <w:caps/>
                <w:sz w:val="24"/>
              </w:rPr>
            </w:pPr>
            <w:r w:rsidRPr="004B3433">
              <w:rPr>
                <w:b/>
                <w:caps/>
                <w:sz w:val="24"/>
              </w:rPr>
              <w:t>ODDÍl 11  toxikologickÉ  INFORMACE</w:t>
            </w:r>
          </w:p>
        </w:tc>
      </w:tr>
    </w:tbl>
    <w:p w:rsidR="00435151" w:rsidRPr="008C569E" w:rsidRDefault="00435151" w:rsidP="00435151">
      <w:pPr>
        <w:jc w:val="both"/>
        <w:rPr>
          <w:b/>
        </w:rPr>
      </w:pPr>
    </w:p>
    <w:p w:rsidR="00435151" w:rsidRPr="004B3433" w:rsidRDefault="00435151" w:rsidP="00435151">
      <w:pPr>
        <w:numPr>
          <w:ilvl w:val="2"/>
          <w:numId w:val="15"/>
        </w:numPr>
        <w:jc w:val="both"/>
        <w:rPr>
          <w:b/>
          <w:sz w:val="24"/>
        </w:rPr>
      </w:pPr>
      <w:r w:rsidRPr="004B3433">
        <w:rPr>
          <w:b/>
          <w:sz w:val="24"/>
        </w:rPr>
        <w:t>Látky</w:t>
      </w:r>
    </w:p>
    <w:p w:rsidR="00435151" w:rsidRPr="004B3433" w:rsidRDefault="00435151" w:rsidP="00435151">
      <w:pPr>
        <w:ind w:left="360"/>
        <w:jc w:val="both"/>
        <w:rPr>
          <w:sz w:val="24"/>
          <w:szCs w:val="24"/>
        </w:rPr>
      </w:pPr>
      <w:r w:rsidRPr="004B3433">
        <w:rPr>
          <w:sz w:val="24"/>
          <w:szCs w:val="24"/>
        </w:rPr>
        <w:tab/>
        <w:t>Výrobce uvádí údaje pro a</w:t>
      </w:r>
      <w:r w:rsidR="004B3433" w:rsidRPr="004B3433">
        <w:rPr>
          <w:sz w:val="24"/>
          <w:szCs w:val="24"/>
        </w:rPr>
        <w:t>kutní toxicitu složek pro složku</w:t>
      </w:r>
      <w:r w:rsidRPr="004B3433">
        <w:rPr>
          <w:sz w:val="24"/>
          <w:szCs w:val="24"/>
        </w:rPr>
        <w:t>:</w:t>
      </w:r>
    </w:p>
    <w:p w:rsidR="00435151" w:rsidRPr="004B3433" w:rsidRDefault="004B3433" w:rsidP="00435151">
      <w:pPr>
        <w:ind w:left="360"/>
        <w:jc w:val="both"/>
        <w:rPr>
          <w:sz w:val="24"/>
          <w:szCs w:val="24"/>
        </w:rPr>
      </w:pPr>
      <w:r w:rsidRPr="004B3433">
        <w:tab/>
        <w:t>sodium-N-methyl-N-(1-oxotetradecyl) aminoacetát</w:t>
      </w:r>
      <w:r w:rsidR="00435151" w:rsidRPr="004B3433">
        <w:t>: LD</w:t>
      </w:r>
      <w:r w:rsidR="00435151" w:rsidRPr="004B3433">
        <w:rPr>
          <w:vertAlign w:val="subscript"/>
        </w:rPr>
        <w:t>50</w:t>
      </w:r>
      <w:r w:rsidR="00435151" w:rsidRPr="004B3433">
        <w:t xml:space="preserve"> (oral, potkan)  &gt;2000 mg.kg</w:t>
      </w:r>
      <w:r w:rsidR="00435151" w:rsidRPr="004B3433">
        <w:rPr>
          <w:vertAlign w:val="superscript"/>
        </w:rPr>
        <w:t>-1</w:t>
      </w:r>
      <w:r w:rsidR="00435151" w:rsidRPr="004B3433">
        <w:t>.</w:t>
      </w:r>
    </w:p>
    <w:p w:rsidR="00435151" w:rsidRPr="004B3433" w:rsidRDefault="00435151" w:rsidP="00435151">
      <w:pPr>
        <w:numPr>
          <w:ilvl w:val="2"/>
          <w:numId w:val="15"/>
        </w:numPr>
        <w:jc w:val="both"/>
        <w:rPr>
          <w:b/>
          <w:sz w:val="24"/>
          <w:szCs w:val="24"/>
        </w:rPr>
      </w:pPr>
      <w:r w:rsidRPr="004B3433">
        <w:rPr>
          <w:b/>
          <w:sz w:val="24"/>
          <w:szCs w:val="24"/>
        </w:rPr>
        <w:t>Směsi</w:t>
      </w:r>
    </w:p>
    <w:p w:rsidR="00435151" w:rsidRPr="004B3433" w:rsidRDefault="00435151" w:rsidP="00435151">
      <w:pPr>
        <w:jc w:val="both"/>
        <w:rPr>
          <w:sz w:val="24"/>
          <w:szCs w:val="24"/>
        </w:rPr>
      </w:pPr>
      <w:r w:rsidRPr="00CB11DF">
        <w:rPr>
          <w:color w:val="FF0000"/>
          <w:sz w:val="24"/>
          <w:szCs w:val="24"/>
        </w:rPr>
        <w:tab/>
      </w:r>
      <w:r w:rsidRPr="004B3433">
        <w:rPr>
          <w:sz w:val="24"/>
          <w:szCs w:val="24"/>
        </w:rPr>
        <w:t>Výrobce neuvádí údaje akutní toxicity pro směs.</w:t>
      </w:r>
    </w:p>
    <w:p w:rsidR="00435151" w:rsidRPr="004B3433" w:rsidRDefault="00435151" w:rsidP="00435151">
      <w:pPr>
        <w:numPr>
          <w:ilvl w:val="2"/>
          <w:numId w:val="15"/>
        </w:numPr>
        <w:jc w:val="both"/>
        <w:rPr>
          <w:b/>
          <w:sz w:val="24"/>
          <w:szCs w:val="24"/>
        </w:rPr>
      </w:pPr>
      <w:r w:rsidRPr="004B3433">
        <w:rPr>
          <w:b/>
          <w:sz w:val="24"/>
          <w:szCs w:val="24"/>
        </w:rPr>
        <w:t>Pravděpodobné cesty expozice – zejména pro koncentrát:</w:t>
      </w:r>
    </w:p>
    <w:p w:rsidR="00435151" w:rsidRPr="004B3433" w:rsidRDefault="00435151" w:rsidP="00435151">
      <w:pPr>
        <w:ind w:left="567"/>
        <w:jc w:val="both"/>
        <w:rPr>
          <w:sz w:val="24"/>
          <w:szCs w:val="24"/>
        </w:rPr>
      </w:pPr>
      <w:r w:rsidRPr="00CB11DF">
        <w:rPr>
          <w:color w:val="FF0000"/>
          <w:sz w:val="24"/>
          <w:szCs w:val="24"/>
        </w:rPr>
        <w:tab/>
      </w:r>
      <w:r w:rsidRPr="004B3433">
        <w:rPr>
          <w:sz w:val="24"/>
          <w:szCs w:val="24"/>
        </w:rPr>
        <w:t>Vdechování, inhalace při tepelném rozkladu  - směs může být zdraví škodlivá</w:t>
      </w:r>
      <w:r w:rsidR="004B3433" w:rsidRPr="004B3433">
        <w:rPr>
          <w:sz w:val="24"/>
          <w:szCs w:val="24"/>
        </w:rPr>
        <w:t xml:space="preserve"> i </w:t>
      </w:r>
      <w:r w:rsidR="004B3433" w:rsidRPr="004B3433">
        <w:rPr>
          <w:sz w:val="24"/>
          <w:szCs w:val="24"/>
        </w:rPr>
        <w:tab/>
        <w:t>dráždivá.</w:t>
      </w:r>
      <w:r w:rsidRPr="004B3433">
        <w:rPr>
          <w:sz w:val="24"/>
          <w:szCs w:val="24"/>
        </w:rPr>
        <w:t xml:space="preserve"> </w:t>
      </w:r>
    </w:p>
    <w:p w:rsidR="00435151" w:rsidRPr="004B3433" w:rsidRDefault="00435151" w:rsidP="00435151">
      <w:pPr>
        <w:ind w:left="567"/>
        <w:jc w:val="both"/>
        <w:rPr>
          <w:sz w:val="24"/>
          <w:szCs w:val="24"/>
        </w:rPr>
      </w:pPr>
      <w:r w:rsidRPr="004B3433">
        <w:rPr>
          <w:sz w:val="24"/>
          <w:szCs w:val="24"/>
        </w:rPr>
        <w:tab/>
        <w:t xml:space="preserve">Styk s kůží - směs </w:t>
      </w:r>
      <w:r w:rsidR="004B3433" w:rsidRPr="004B3433">
        <w:rPr>
          <w:sz w:val="24"/>
          <w:szCs w:val="24"/>
        </w:rPr>
        <w:t>působí dráždivě</w:t>
      </w:r>
      <w:r w:rsidRPr="004B3433">
        <w:rPr>
          <w:sz w:val="24"/>
          <w:szCs w:val="24"/>
        </w:rPr>
        <w:t xml:space="preserve">.  U citlivých jedinců může dojít k alergenním </w:t>
      </w:r>
      <w:r w:rsidRPr="004B3433">
        <w:rPr>
          <w:sz w:val="24"/>
          <w:szCs w:val="24"/>
        </w:rPr>
        <w:tab/>
        <w:t>účinkům.</w:t>
      </w:r>
    </w:p>
    <w:p w:rsidR="00435151" w:rsidRPr="004B3433" w:rsidRDefault="00435151" w:rsidP="00435151">
      <w:pPr>
        <w:ind w:left="567"/>
        <w:jc w:val="both"/>
        <w:rPr>
          <w:sz w:val="24"/>
          <w:szCs w:val="24"/>
        </w:rPr>
      </w:pPr>
      <w:r w:rsidRPr="004B3433">
        <w:rPr>
          <w:sz w:val="24"/>
          <w:szCs w:val="24"/>
        </w:rPr>
        <w:tab/>
        <w:t>Vniknutí do očí - směs působí dráždivě.</w:t>
      </w:r>
    </w:p>
    <w:p w:rsidR="00435151" w:rsidRPr="004B3433" w:rsidRDefault="00435151" w:rsidP="00435151">
      <w:pPr>
        <w:ind w:left="567"/>
        <w:jc w:val="both"/>
        <w:rPr>
          <w:sz w:val="24"/>
        </w:rPr>
      </w:pPr>
      <w:r w:rsidRPr="004B3433">
        <w:rPr>
          <w:sz w:val="24"/>
          <w:szCs w:val="24"/>
        </w:rPr>
        <w:tab/>
        <w:t xml:space="preserve">Požití - může být zdraví škodlivé. </w:t>
      </w:r>
      <w:r w:rsidRPr="004B3433">
        <w:rPr>
          <w:sz w:val="24"/>
        </w:rPr>
        <w:t xml:space="preserve"> </w:t>
      </w:r>
    </w:p>
    <w:p w:rsidR="00435151" w:rsidRPr="004B3433" w:rsidRDefault="00435151" w:rsidP="00435151">
      <w:pPr>
        <w:ind w:left="567"/>
        <w:jc w:val="both"/>
        <w:rPr>
          <w:sz w:val="24"/>
          <w:szCs w:val="24"/>
        </w:rPr>
      </w:pPr>
      <w:r w:rsidRPr="004B3433">
        <w:rPr>
          <w:sz w:val="24"/>
        </w:rPr>
        <w:tab/>
        <w:t xml:space="preserve">Viz údaje v oddílech </w:t>
      </w:r>
      <w:smartTag w:uri="urn:schemas-microsoft-com:office:smarttags" w:element="metricconverter">
        <w:smartTagPr>
          <w:attr w:name="ProductID" w:val="2,3 a"/>
        </w:smartTagPr>
        <w:r w:rsidRPr="004B3433">
          <w:rPr>
            <w:sz w:val="24"/>
          </w:rPr>
          <w:t>2,3 a</w:t>
        </w:r>
      </w:smartTag>
      <w:r w:rsidRPr="004B3433">
        <w:rPr>
          <w:sz w:val="24"/>
        </w:rPr>
        <w:t xml:space="preserve"> 4.</w:t>
      </w:r>
    </w:p>
    <w:p w:rsidR="00435151" w:rsidRPr="004B3433" w:rsidRDefault="00435151" w:rsidP="00435151">
      <w:pPr>
        <w:numPr>
          <w:ilvl w:val="2"/>
          <w:numId w:val="15"/>
        </w:numPr>
        <w:jc w:val="both"/>
        <w:rPr>
          <w:b/>
          <w:sz w:val="24"/>
        </w:rPr>
      </w:pPr>
      <w:r w:rsidRPr="004B3433">
        <w:rPr>
          <w:b/>
          <w:sz w:val="24"/>
        </w:rPr>
        <w:t>Ostatní údaje</w:t>
      </w:r>
    </w:p>
    <w:p w:rsidR="00435151" w:rsidRPr="004B3433" w:rsidRDefault="00435151" w:rsidP="00435151">
      <w:pPr>
        <w:jc w:val="both"/>
        <w:rPr>
          <w:sz w:val="24"/>
        </w:rPr>
      </w:pPr>
      <w:r w:rsidRPr="004B3433">
        <w:rPr>
          <w:sz w:val="24"/>
        </w:rPr>
        <w:tab/>
        <w:t xml:space="preserve">Při dlouhodobé nebo opakované expozici může dojít k senzibilním účinkům. Při </w:t>
      </w:r>
      <w:r w:rsidRPr="004B3433">
        <w:rPr>
          <w:sz w:val="24"/>
        </w:rPr>
        <w:tab/>
        <w:t>dodržení bezpečnosti a hygieny práce a pokynů BL nebezpečí nehrozí.</w:t>
      </w:r>
    </w:p>
    <w:p w:rsidR="004B3433" w:rsidRDefault="004B3433" w:rsidP="00435151">
      <w:pPr>
        <w:jc w:val="both"/>
        <w:rPr>
          <w:color w:val="FF0000"/>
        </w:rPr>
      </w:pPr>
    </w:p>
    <w:p w:rsidR="008C569E" w:rsidRDefault="008C569E" w:rsidP="00435151">
      <w:pPr>
        <w:jc w:val="both"/>
        <w:rPr>
          <w:color w:val="FF0000"/>
        </w:rPr>
      </w:pPr>
    </w:p>
    <w:p w:rsidR="008C569E" w:rsidRPr="00A77C66" w:rsidRDefault="008C569E" w:rsidP="00435151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C569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C569E" w:rsidRDefault="00435151" w:rsidP="00435151">
            <w:pPr>
              <w:ind w:left="180"/>
              <w:rPr>
                <w:sz w:val="24"/>
              </w:rPr>
            </w:pPr>
            <w:r w:rsidRPr="008C569E">
              <w:rPr>
                <w:b/>
                <w:caps/>
                <w:sz w:val="24"/>
              </w:rPr>
              <w:lastRenderedPageBreak/>
              <w:t>ODDÍL  12 Ekologické informace</w:t>
            </w:r>
          </w:p>
        </w:tc>
      </w:tr>
    </w:tbl>
    <w:p w:rsidR="00435151" w:rsidRPr="008C569E" w:rsidRDefault="00435151" w:rsidP="00435151"/>
    <w:p w:rsidR="00435151" w:rsidRPr="008C569E" w:rsidRDefault="00435151" w:rsidP="00435151">
      <w:pPr>
        <w:numPr>
          <w:ilvl w:val="1"/>
          <w:numId w:val="16"/>
        </w:numPr>
        <w:tabs>
          <w:tab w:val="clear" w:pos="1128"/>
          <w:tab w:val="num" w:pos="540"/>
          <w:tab w:val="num" w:pos="567"/>
        </w:tabs>
        <w:ind w:left="567" w:hanging="567"/>
        <w:jc w:val="both"/>
        <w:rPr>
          <w:b/>
          <w:sz w:val="24"/>
        </w:rPr>
      </w:pPr>
      <w:r w:rsidRPr="008C569E">
        <w:rPr>
          <w:b/>
          <w:sz w:val="24"/>
        </w:rPr>
        <w:tab/>
      </w:r>
      <w:r w:rsidRPr="008C569E">
        <w:rPr>
          <w:b/>
          <w:sz w:val="24"/>
        </w:rPr>
        <w:tab/>
        <w:t>Toxicita:</w:t>
      </w:r>
    </w:p>
    <w:p w:rsidR="00435151" w:rsidRPr="008C569E" w:rsidRDefault="00435151" w:rsidP="00435151">
      <w:pPr>
        <w:ind w:left="720"/>
        <w:jc w:val="both"/>
        <w:rPr>
          <w:sz w:val="24"/>
        </w:rPr>
      </w:pPr>
      <w:r w:rsidRPr="008C569E">
        <w:rPr>
          <w:sz w:val="24"/>
        </w:rPr>
        <w:t>Nejsou údaje.</w:t>
      </w:r>
      <w:r w:rsidR="00A1073B" w:rsidRPr="008C569E">
        <w:rPr>
          <w:sz w:val="24"/>
        </w:rPr>
        <w:t xml:space="preserve"> Koncentrát může při úniku do vodního prostředí vyvolat nepříznivé účinky, zejména pěněním a zamezením přístupu kyslíku do vod.</w:t>
      </w:r>
    </w:p>
    <w:p w:rsidR="00435151" w:rsidRPr="008C569E" w:rsidRDefault="00435151" w:rsidP="00435151">
      <w:pPr>
        <w:numPr>
          <w:ilvl w:val="1"/>
          <w:numId w:val="16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8C569E">
        <w:rPr>
          <w:b/>
          <w:sz w:val="24"/>
        </w:rPr>
        <w:t>Perzistence a rozložitelnost:</w:t>
      </w:r>
    </w:p>
    <w:p w:rsidR="00435151" w:rsidRPr="008C569E" w:rsidRDefault="00435151" w:rsidP="00435151">
      <w:pPr>
        <w:jc w:val="both"/>
        <w:rPr>
          <w:sz w:val="24"/>
        </w:rPr>
      </w:pPr>
      <w:r w:rsidRPr="008C569E">
        <w:rPr>
          <w:sz w:val="24"/>
        </w:rPr>
        <w:tab/>
        <w:t xml:space="preserve">Nejsou údaje o směsi. </w:t>
      </w:r>
    </w:p>
    <w:p w:rsidR="00435151" w:rsidRPr="008C569E" w:rsidRDefault="00435151" w:rsidP="00435151">
      <w:pPr>
        <w:jc w:val="both"/>
      </w:pPr>
      <w:r w:rsidRPr="008C569E">
        <w:rPr>
          <w:sz w:val="24"/>
        </w:rPr>
        <w:tab/>
      </w:r>
      <w:r w:rsidRPr="008C569E">
        <w:t xml:space="preserve">Výrobce uvádí </w:t>
      </w:r>
      <w:r w:rsidR="00A1073B" w:rsidRPr="008C569E">
        <w:t xml:space="preserve">rozložitelnost </w:t>
      </w:r>
      <w:r w:rsidRPr="008C569E">
        <w:t>pro složk</w:t>
      </w:r>
      <w:r w:rsidR="00A1073B" w:rsidRPr="008C569E">
        <w:t>u</w:t>
      </w:r>
      <w:r w:rsidRPr="008C569E">
        <w:t>:</w:t>
      </w:r>
    </w:p>
    <w:p w:rsidR="00435151" w:rsidRPr="008C569E" w:rsidRDefault="00435151" w:rsidP="00435151">
      <w:pPr>
        <w:ind w:left="360"/>
        <w:jc w:val="both"/>
      </w:pPr>
      <w:r w:rsidRPr="008C569E">
        <w:tab/>
      </w:r>
      <w:r w:rsidR="00A1073B" w:rsidRPr="008C569E">
        <w:t xml:space="preserve">sodium-N-methyl-N-(1-oxotetradecyl) aminoacetát: </w:t>
      </w:r>
      <w:r w:rsidRPr="008C569E">
        <w:t xml:space="preserve">&gt; </w:t>
      </w:r>
      <w:r w:rsidR="00A1073B" w:rsidRPr="008C569E">
        <w:t>96</w:t>
      </w:r>
      <w:r w:rsidRPr="008C569E">
        <w:t>%.</w:t>
      </w:r>
    </w:p>
    <w:p w:rsidR="00435151" w:rsidRPr="008C569E" w:rsidRDefault="00435151" w:rsidP="00435151">
      <w:pPr>
        <w:numPr>
          <w:ilvl w:val="1"/>
          <w:numId w:val="16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8C569E">
        <w:rPr>
          <w:b/>
          <w:sz w:val="24"/>
          <w:szCs w:val="24"/>
        </w:rPr>
        <w:t>Bioakumulační potenciál:</w:t>
      </w:r>
    </w:p>
    <w:p w:rsidR="00435151" w:rsidRPr="008C569E" w:rsidRDefault="00435151" w:rsidP="00435151">
      <w:pPr>
        <w:jc w:val="both"/>
        <w:rPr>
          <w:sz w:val="24"/>
        </w:rPr>
      </w:pPr>
      <w:r w:rsidRPr="008C569E">
        <w:rPr>
          <w:sz w:val="24"/>
        </w:rPr>
        <w:tab/>
        <w:t>Nejsou údaje.</w:t>
      </w:r>
    </w:p>
    <w:p w:rsidR="00435151" w:rsidRPr="008C569E" w:rsidRDefault="00435151" w:rsidP="00435151">
      <w:pPr>
        <w:numPr>
          <w:ilvl w:val="1"/>
          <w:numId w:val="16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8C569E">
        <w:rPr>
          <w:b/>
          <w:sz w:val="24"/>
          <w:szCs w:val="24"/>
        </w:rPr>
        <w:t>Mobilita v půdě:</w:t>
      </w:r>
    </w:p>
    <w:p w:rsidR="00435151" w:rsidRPr="008C569E" w:rsidRDefault="00435151" w:rsidP="00435151">
      <w:pPr>
        <w:jc w:val="both"/>
        <w:rPr>
          <w:sz w:val="24"/>
        </w:rPr>
      </w:pPr>
      <w:r w:rsidRPr="008C569E">
        <w:rPr>
          <w:sz w:val="24"/>
        </w:rPr>
        <w:tab/>
        <w:t xml:space="preserve">Nejsou údaje. </w:t>
      </w:r>
    </w:p>
    <w:p w:rsidR="00435151" w:rsidRPr="008C569E" w:rsidRDefault="00435151" w:rsidP="00435151">
      <w:pPr>
        <w:numPr>
          <w:ilvl w:val="1"/>
          <w:numId w:val="16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8C569E">
        <w:rPr>
          <w:b/>
          <w:sz w:val="24"/>
          <w:szCs w:val="24"/>
        </w:rPr>
        <w:t>Výsledky posouzení PBT a vPvB:</w:t>
      </w:r>
    </w:p>
    <w:p w:rsidR="00435151" w:rsidRPr="008C569E" w:rsidRDefault="00435151" w:rsidP="00435151">
      <w:pPr>
        <w:jc w:val="both"/>
        <w:rPr>
          <w:sz w:val="24"/>
        </w:rPr>
      </w:pPr>
      <w:r w:rsidRPr="008C569E">
        <w:rPr>
          <w:sz w:val="24"/>
        </w:rPr>
        <w:tab/>
        <w:t>Nejsou údaje.</w:t>
      </w:r>
    </w:p>
    <w:p w:rsidR="00435151" w:rsidRPr="008C569E" w:rsidRDefault="00435151" w:rsidP="00435151">
      <w:pPr>
        <w:numPr>
          <w:ilvl w:val="1"/>
          <w:numId w:val="16"/>
        </w:numPr>
        <w:tabs>
          <w:tab w:val="num" w:pos="720"/>
        </w:tabs>
        <w:ind w:left="720" w:hanging="720"/>
        <w:jc w:val="both"/>
        <w:rPr>
          <w:b/>
          <w:sz w:val="24"/>
        </w:rPr>
      </w:pPr>
      <w:r w:rsidRPr="008C569E">
        <w:rPr>
          <w:b/>
          <w:sz w:val="24"/>
        </w:rPr>
        <w:t>Jiné nepříznivé účinky:</w:t>
      </w:r>
    </w:p>
    <w:p w:rsidR="00A1073B" w:rsidRPr="008C569E" w:rsidRDefault="00A1073B" w:rsidP="0043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A1073B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A1073B" w:rsidRDefault="00435151" w:rsidP="00435151">
            <w:pPr>
              <w:ind w:left="180"/>
              <w:rPr>
                <w:sz w:val="24"/>
              </w:rPr>
            </w:pPr>
            <w:r w:rsidRPr="00A1073B">
              <w:rPr>
                <w:b/>
                <w:caps/>
                <w:sz w:val="24"/>
              </w:rPr>
              <w:t xml:space="preserve">ODDÍl 13  Pokyny pro odstraňování </w:t>
            </w:r>
          </w:p>
        </w:tc>
      </w:tr>
    </w:tbl>
    <w:p w:rsidR="00435151" w:rsidRPr="00A1073B" w:rsidRDefault="00435151" w:rsidP="00435151">
      <w:pPr>
        <w:rPr>
          <w:sz w:val="24"/>
        </w:rPr>
      </w:pPr>
    </w:p>
    <w:p w:rsidR="00435151" w:rsidRPr="008C569E" w:rsidRDefault="00435151" w:rsidP="00435151">
      <w:pPr>
        <w:rPr>
          <w:sz w:val="24"/>
        </w:rPr>
      </w:pPr>
      <w:r w:rsidRPr="00A1073B">
        <w:rPr>
          <w:b/>
          <w:sz w:val="24"/>
        </w:rPr>
        <w:t xml:space="preserve">13.1 </w:t>
      </w:r>
      <w:r w:rsidRPr="00A1073B">
        <w:rPr>
          <w:b/>
          <w:sz w:val="24"/>
        </w:rPr>
        <w:tab/>
      </w:r>
      <w:r w:rsidRPr="008C569E">
        <w:rPr>
          <w:b/>
          <w:sz w:val="24"/>
        </w:rPr>
        <w:t xml:space="preserve">Metody nakládání s odpady: </w:t>
      </w:r>
    </w:p>
    <w:p w:rsidR="00435151" w:rsidRPr="008C569E" w:rsidRDefault="00435151" w:rsidP="00435151">
      <w:pPr>
        <w:tabs>
          <w:tab w:val="num" w:pos="720"/>
        </w:tabs>
        <w:rPr>
          <w:b/>
          <w:sz w:val="24"/>
        </w:rPr>
      </w:pPr>
      <w:r w:rsidRPr="008C569E">
        <w:rPr>
          <w:b/>
          <w:sz w:val="24"/>
        </w:rPr>
        <w:tab/>
        <w:t>Charakter a zacházení se směsí</w:t>
      </w:r>
    </w:p>
    <w:p w:rsidR="00435151" w:rsidRPr="008C569E" w:rsidRDefault="00435151" w:rsidP="00435151">
      <w:pPr>
        <w:ind w:left="720"/>
        <w:jc w:val="both"/>
        <w:rPr>
          <w:sz w:val="24"/>
        </w:rPr>
      </w:pPr>
      <w:r w:rsidRPr="008C569E">
        <w:rPr>
          <w:sz w:val="24"/>
        </w:rPr>
        <w:t xml:space="preserve">Nepoužitelná směs nesmí být odstraňována do půdy, vod povrchových, nebo podzemních a do kanalizačních systémů veřejné kanalizace. V případě havarijního úniku velkého množství do vod (&gt; </w:t>
      </w:r>
      <w:smartTag w:uri="urn:schemas-microsoft-com:office:smarttags" w:element="metricconverter">
        <w:smartTagPr>
          <w:attr w:name="ProductID" w:val="50 l"/>
        </w:smartTagPr>
        <w:r w:rsidRPr="008C569E">
          <w:rPr>
            <w:sz w:val="24"/>
          </w:rPr>
          <w:t>50 l</w:t>
        </w:r>
      </w:smartTag>
      <w:r w:rsidRPr="008C569E">
        <w:rPr>
          <w:sz w:val="24"/>
        </w:rPr>
        <w:t xml:space="preserve">) musí být zajištěno silné ředění a informovány vodoprávní úřady, respektive provozovatel veřejné kanalizace.  </w:t>
      </w:r>
      <w:r w:rsidRPr="008C569E">
        <w:rPr>
          <w:b/>
          <w:sz w:val="24"/>
        </w:rPr>
        <w:t>Použitá ředěná směs</w:t>
      </w:r>
      <w:r w:rsidRPr="008C569E">
        <w:rPr>
          <w:sz w:val="24"/>
        </w:rPr>
        <w:t xml:space="preserve"> je odpadní vodou, která je likvidovatelná spolu s ostatními komunálními odpadními vodami na BČOV.</w:t>
      </w:r>
    </w:p>
    <w:p w:rsidR="00435151" w:rsidRPr="008C569E" w:rsidRDefault="00435151" w:rsidP="00435151">
      <w:pPr>
        <w:ind w:left="720" w:hanging="720"/>
        <w:jc w:val="both"/>
        <w:rPr>
          <w:b/>
          <w:sz w:val="24"/>
        </w:rPr>
      </w:pPr>
      <w:r w:rsidRPr="008C569E">
        <w:rPr>
          <w:b/>
          <w:sz w:val="24"/>
        </w:rPr>
        <w:tab/>
        <w:t>Odstraňování látky/směsi</w:t>
      </w:r>
    </w:p>
    <w:p w:rsidR="00435151" w:rsidRPr="008C569E" w:rsidRDefault="00435151" w:rsidP="00435151">
      <w:pPr>
        <w:ind w:left="720"/>
        <w:jc w:val="both"/>
        <w:rPr>
          <w:sz w:val="24"/>
        </w:rPr>
      </w:pPr>
      <w:r w:rsidRPr="008C569E">
        <w:rPr>
          <w:sz w:val="24"/>
        </w:rPr>
        <w:t>Nepoužitelná směs je nebezpečným odpadem k.</w:t>
      </w:r>
      <w:r w:rsidR="00874B0B" w:rsidRPr="008C569E">
        <w:rPr>
          <w:sz w:val="24"/>
        </w:rPr>
        <w:t xml:space="preserve"> </w:t>
      </w:r>
      <w:r w:rsidRPr="008C569E">
        <w:rPr>
          <w:sz w:val="24"/>
        </w:rPr>
        <w:t>č. 200129 Detergenty obsahující nebezpečné látky (dle zařazení výrobce). Shromaždování může být pouze v uzavřených nádobách a odstranění je možné pouze předáním oprávněné osobě. Odstranění směsi je doporučováno, v souladu s platnou legislativou na úseku nakládání s odpady, spálením ve spalovně odpadů.  Při úniku na zabezpečenou plochu záchyt pevným sorbentem.  Sorbent se směsí je odpad k.</w:t>
      </w:r>
      <w:r w:rsidR="00874B0B" w:rsidRPr="008C569E">
        <w:rPr>
          <w:sz w:val="24"/>
        </w:rPr>
        <w:t xml:space="preserve"> </w:t>
      </w:r>
      <w:r w:rsidRPr="008C569E">
        <w:rPr>
          <w:sz w:val="24"/>
        </w:rPr>
        <w:t>č. 150202. Obaly, po dekontaminaci, jsou odpadem k.</w:t>
      </w:r>
      <w:r w:rsidR="00874B0B" w:rsidRPr="008C569E">
        <w:rPr>
          <w:sz w:val="24"/>
        </w:rPr>
        <w:t xml:space="preserve"> </w:t>
      </w:r>
      <w:r w:rsidRPr="008C569E">
        <w:rPr>
          <w:sz w:val="24"/>
        </w:rPr>
        <w:t xml:space="preserve">č. 150102. Obaly je možno energeticky využít ve spalovně odpadů nebo ukládat na skládce příslušného zařazení. Dekontaminované plastové obaly je nutno především nabídnout k recyklaci. </w:t>
      </w:r>
    </w:p>
    <w:p w:rsidR="00A1073B" w:rsidRPr="00A77C66" w:rsidRDefault="00A1073B" w:rsidP="00A77C66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C569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C569E" w:rsidRDefault="00435151" w:rsidP="00435151">
            <w:pPr>
              <w:ind w:left="180"/>
              <w:rPr>
                <w:sz w:val="24"/>
              </w:rPr>
            </w:pPr>
            <w:r w:rsidRPr="008C569E">
              <w:rPr>
                <w:b/>
                <w:caps/>
                <w:sz w:val="24"/>
              </w:rPr>
              <w:t>ODDÍL 14  Informace pro přepravu</w:t>
            </w:r>
          </w:p>
        </w:tc>
      </w:tr>
    </w:tbl>
    <w:p w:rsidR="00435151" w:rsidRPr="008C569E" w:rsidRDefault="00435151" w:rsidP="00435151"/>
    <w:p w:rsidR="00435151" w:rsidRPr="008C569E" w:rsidRDefault="00435151" w:rsidP="00435151">
      <w:pPr>
        <w:ind w:left="709" w:hanging="709"/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 xml:space="preserve">14.1  </w:t>
      </w:r>
      <w:r w:rsidRPr="008C569E">
        <w:rPr>
          <w:b/>
          <w:sz w:val="22"/>
          <w:szCs w:val="22"/>
        </w:rPr>
        <w:tab/>
        <w:t>Číslo OSN:</w:t>
      </w:r>
      <w:r w:rsidRPr="008C569E">
        <w:rPr>
          <w:sz w:val="22"/>
          <w:szCs w:val="22"/>
        </w:rPr>
        <w:t xml:space="preserve"> Výrobce neuvádí.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Náležitý název OSN pro zásilku: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Třída/třídy nebezpečnosti pro dopravu: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Obalová skupina: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Nebezpečnost pro životní prostředí: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Zvláštní bezpečnostní opatření pro uživatele:</w:t>
      </w:r>
    </w:p>
    <w:p w:rsidR="00435151" w:rsidRPr="008C569E" w:rsidRDefault="00435151" w:rsidP="00435151">
      <w:pPr>
        <w:numPr>
          <w:ilvl w:val="1"/>
          <w:numId w:val="17"/>
        </w:numPr>
        <w:rPr>
          <w:b/>
          <w:sz w:val="22"/>
          <w:szCs w:val="22"/>
        </w:rPr>
      </w:pPr>
      <w:r w:rsidRPr="008C569E">
        <w:rPr>
          <w:b/>
          <w:sz w:val="22"/>
          <w:szCs w:val="22"/>
        </w:rPr>
        <w:tab/>
        <w:t>Hromadná přeprava podle přílohy II MARPOL 3/78 a předpisu IBC</w:t>
      </w:r>
    </w:p>
    <w:p w:rsidR="00435151" w:rsidRDefault="00435151" w:rsidP="00435151"/>
    <w:p w:rsidR="008C569E" w:rsidRDefault="008C569E" w:rsidP="00435151"/>
    <w:p w:rsidR="008C569E" w:rsidRDefault="008C569E" w:rsidP="00435151"/>
    <w:p w:rsidR="008C569E" w:rsidRDefault="008C569E" w:rsidP="00435151"/>
    <w:p w:rsidR="008C569E" w:rsidRPr="00A77C66" w:rsidRDefault="008C569E" w:rsidP="0043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A1073B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A1073B" w:rsidRDefault="00435151" w:rsidP="00435151">
            <w:pPr>
              <w:ind w:left="180"/>
              <w:rPr>
                <w:b/>
                <w:caps/>
                <w:sz w:val="24"/>
              </w:rPr>
            </w:pPr>
            <w:r w:rsidRPr="00A1073B">
              <w:rPr>
                <w:b/>
                <w:caps/>
                <w:sz w:val="24"/>
              </w:rPr>
              <w:lastRenderedPageBreak/>
              <w:t xml:space="preserve">ODDÍL 15  Informace o předpisech    </w:t>
            </w:r>
          </w:p>
        </w:tc>
      </w:tr>
    </w:tbl>
    <w:p w:rsidR="00435151" w:rsidRPr="00A1073B" w:rsidRDefault="00435151" w:rsidP="00435151">
      <w:pPr>
        <w:rPr>
          <w:sz w:val="24"/>
        </w:rPr>
      </w:pPr>
    </w:p>
    <w:p w:rsidR="00435151" w:rsidRPr="008C569E" w:rsidRDefault="00435151" w:rsidP="00435151">
      <w:pPr>
        <w:ind w:left="720" w:hanging="720"/>
        <w:jc w:val="both"/>
        <w:rPr>
          <w:b/>
          <w:sz w:val="24"/>
        </w:rPr>
      </w:pPr>
      <w:r w:rsidRPr="00A3749C">
        <w:rPr>
          <w:b/>
          <w:sz w:val="24"/>
        </w:rPr>
        <w:t>15.1</w:t>
      </w:r>
      <w:r w:rsidRPr="00A3749C">
        <w:rPr>
          <w:b/>
          <w:sz w:val="24"/>
        </w:rPr>
        <w:tab/>
      </w:r>
      <w:r w:rsidRPr="008C569E">
        <w:rPr>
          <w:b/>
          <w:sz w:val="24"/>
        </w:rPr>
        <w:t xml:space="preserve">Nařízení týkající se bezpečnosti, zdraví, a životního prostředí/Specifické právní předpisy týkající se látky nebo směsi: 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zákon č. 350/2011 Sb. o chemických látkách a chemických směsích a o změně některých zákonů (chemický zákon)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vyhláška č. 402/11 Sb., o hodnocení nebezpečných vlastností chemických látek a chemických směsí a balení a označování nebezpečných chemických směsí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zákon č. 185/01 Sb., o odpadech, v platném znění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zákon č. 477/01 Sb., o obalech, v platném znění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zákon č. 258/00 Sb., o ochraně veřejného zdraví, v platném znění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nař. vl. č. 361/07 Sb., kterým se stanoví podmínky ochrany zdraví zaměstnanců při práci, ve znění pozdějších předpisů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vyhl. č. 381/01 Sb., katalog odpadů, v platném znění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vyhl. č. 383/01 Sb., o podrobnostech nakládání s odpady, v platném znění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Nař. EP a Rady (ES) č. 1907/2006 (REACH)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Nař. EP a Rady (ES) č. 1272/2008 (CLP), ve znění Nař. EP a Rady (ES) č. 790/2009</w:t>
      </w:r>
    </w:p>
    <w:p w:rsidR="00435151" w:rsidRPr="008C569E" w:rsidRDefault="00435151" w:rsidP="00435151">
      <w:pPr>
        <w:numPr>
          <w:ilvl w:val="0"/>
          <w:numId w:val="18"/>
        </w:numPr>
        <w:tabs>
          <w:tab w:val="num" w:pos="900"/>
        </w:tabs>
        <w:ind w:left="900" w:hanging="180"/>
        <w:jc w:val="both"/>
      </w:pPr>
      <w:r w:rsidRPr="008C569E">
        <w:t>Nařízení komise (EU) č. 453/2010, kterým se mění Nař. EP a Rady (ES) č. 1907/2006.</w:t>
      </w:r>
    </w:p>
    <w:p w:rsidR="00435151" w:rsidRPr="008C569E" w:rsidRDefault="00435151" w:rsidP="00435151">
      <w:pPr>
        <w:ind w:left="720" w:hanging="720"/>
        <w:jc w:val="both"/>
        <w:rPr>
          <w:sz w:val="24"/>
        </w:rPr>
      </w:pPr>
      <w:r w:rsidRPr="008C569E">
        <w:rPr>
          <w:b/>
          <w:sz w:val="24"/>
        </w:rPr>
        <w:t xml:space="preserve">15.2   </w:t>
      </w:r>
      <w:r w:rsidRPr="008C569E">
        <w:rPr>
          <w:b/>
          <w:sz w:val="24"/>
        </w:rPr>
        <w:tab/>
        <w:t xml:space="preserve">Posouzení chemické bezpečnosti: </w:t>
      </w:r>
    </w:p>
    <w:p w:rsidR="00435151" w:rsidRPr="008C569E" w:rsidRDefault="00435151" w:rsidP="00435151">
      <w:pPr>
        <w:ind w:left="720"/>
        <w:jc w:val="both"/>
      </w:pPr>
      <w:r w:rsidRPr="008C569E">
        <w:t>Nebyly dosud předloženy zprávy o chemické bezpečnosti. (CSR – chemical safety report) výrobců chemických látek.</w:t>
      </w:r>
    </w:p>
    <w:p w:rsidR="00435151" w:rsidRPr="008C569E" w:rsidRDefault="00435151" w:rsidP="004351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35151" w:rsidRPr="008C569E" w:rsidTr="0043515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151" w:rsidRPr="008C569E" w:rsidRDefault="00435151" w:rsidP="00435151">
            <w:pPr>
              <w:rPr>
                <w:sz w:val="24"/>
              </w:rPr>
            </w:pPr>
            <w:r w:rsidRPr="008C569E">
              <w:rPr>
                <w:b/>
                <w:caps/>
                <w:sz w:val="24"/>
              </w:rPr>
              <w:t xml:space="preserve">ODDÍL 16 DALŠÍ informace </w:t>
            </w:r>
          </w:p>
        </w:tc>
      </w:tr>
    </w:tbl>
    <w:p w:rsidR="008C569E" w:rsidRDefault="008C569E" w:rsidP="00435151">
      <w:pPr>
        <w:pStyle w:val="Zkladntext"/>
        <w:rPr>
          <w:sz w:val="20"/>
        </w:rPr>
      </w:pPr>
    </w:p>
    <w:p w:rsidR="00435151" w:rsidRPr="008C569E" w:rsidRDefault="00435151" w:rsidP="00435151">
      <w:pPr>
        <w:pStyle w:val="Zkladntext"/>
        <w:rPr>
          <w:sz w:val="20"/>
        </w:rPr>
      </w:pPr>
      <w:r w:rsidRPr="008C569E">
        <w:rPr>
          <w:sz w:val="20"/>
        </w:rPr>
        <w:t>Bezpečnostní list je zpracován podle Nařízení komise (EU) č. 453/2010, kterým se mění Nař. EP a Rady (ES) č. 1907/2006 - přílohy č. I (II).</w:t>
      </w:r>
    </w:p>
    <w:p w:rsidR="00435151" w:rsidRPr="008C569E" w:rsidRDefault="00435151" w:rsidP="00435151"/>
    <w:p w:rsidR="00435151" w:rsidRPr="008C569E" w:rsidRDefault="00435151" w:rsidP="00435151">
      <w:pPr>
        <w:pStyle w:val="Zkladntext"/>
        <w:rPr>
          <w:sz w:val="20"/>
        </w:rPr>
      </w:pPr>
      <w:r w:rsidRPr="008C569E">
        <w:rPr>
          <w:sz w:val="20"/>
        </w:rPr>
        <w:t>Bezpečnostní list obsahuje údaje potřebné pro zajištění ochrany životního prostředí a bezpečnosti a ochrany zdravých životních podmínek, bezpečnosti a ochrany zdraví při práci. Uvedené údaje odpovídají současnému stavu vědomostí a zkušeností a jsou v souladu s platnými předpisy. Nemohou být považovány za záruku vhodnosti a použitelnosti produktu pro konkrétní aplikaci. Dodavatel upozorňuje, že hodnocení nebezpečnosti a toxicity nemusí být dostatečné. Dodavatel není zodpovědný, za jakékoliv poškození, které může být způsobeno nesprávným použitím směsi.</w:t>
      </w:r>
    </w:p>
    <w:p w:rsidR="00435151" w:rsidRPr="008C569E" w:rsidRDefault="00435151" w:rsidP="00435151">
      <w:pPr>
        <w:pStyle w:val="Zkladntext"/>
        <w:rPr>
          <w:sz w:val="20"/>
        </w:rPr>
      </w:pPr>
    </w:p>
    <w:p w:rsidR="00435151" w:rsidRPr="008C569E" w:rsidRDefault="00435151" w:rsidP="00435151">
      <w:pPr>
        <w:pStyle w:val="Zkladntext"/>
        <w:rPr>
          <w:sz w:val="20"/>
        </w:rPr>
      </w:pPr>
      <w:r w:rsidRPr="008C569E">
        <w:rPr>
          <w:b/>
          <w:sz w:val="20"/>
        </w:rPr>
        <w:t>Výrobce:</w:t>
      </w:r>
    </w:p>
    <w:p w:rsidR="00435151" w:rsidRPr="008C569E" w:rsidRDefault="00435151" w:rsidP="00435151">
      <w:r w:rsidRPr="008C569E">
        <w:t>Obchodní jméno:  IDUNA A/S</w:t>
      </w:r>
    </w:p>
    <w:p w:rsidR="00435151" w:rsidRPr="008C569E" w:rsidRDefault="00435151" w:rsidP="00435151">
      <w:r w:rsidRPr="008C569E">
        <w:t xml:space="preserve">Místo podnikání: BLOKKEN 25, DK-3460 BIRKEROED, Dánsko     </w:t>
      </w:r>
    </w:p>
    <w:p w:rsidR="00435151" w:rsidRPr="008C569E" w:rsidRDefault="00435151" w:rsidP="00435151">
      <w:r w:rsidRPr="008C569E">
        <w:t>Telefon: +4545 818066</w:t>
      </w:r>
    </w:p>
    <w:p w:rsidR="00131933" w:rsidRPr="008C569E" w:rsidRDefault="00131933" w:rsidP="00131933">
      <w:pPr>
        <w:jc w:val="both"/>
      </w:pPr>
    </w:p>
    <w:p w:rsidR="00B12DFA" w:rsidRPr="008C569E" w:rsidRDefault="00B12DFA" w:rsidP="00B12DFA">
      <w:pPr>
        <w:jc w:val="both"/>
        <w:rPr>
          <w:b/>
        </w:rPr>
      </w:pPr>
      <w:r w:rsidRPr="008C569E">
        <w:rPr>
          <w:b/>
        </w:rPr>
        <w:t>Pokyny pro bezpečné zacházení (plné znění z oddílu 2)</w:t>
      </w:r>
    </w:p>
    <w:p w:rsidR="00B12DFA" w:rsidRPr="008C569E" w:rsidRDefault="00B12DFA" w:rsidP="00B12DFA">
      <w:pPr>
        <w:jc w:val="both"/>
      </w:pPr>
      <w:r w:rsidRPr="008C569E">
        <w:t>P264 Po manipulaci důkladně umyjte ruce.</w:t>
      </w:r>
    </w:p>
    <w:p w:rsidR="00B12DFA" w:rsidRPr="008C569E" w:rsidRDefault="00B12DFA" w:rsidP="00B12DFA">
      <w:pPr>
        <w:jc w:val="both"/>
      </w:pPr>
      <w:r w:rsidRPr="008C569E">
        <w:t>P280 Používejte ochranné rukavice/ochranný oděv/ochranné brýle/obličejový štít.</w:t>
      </w:r>
    </w:p>
    <w:p w:rsidR="00B12DFA" w:rsidRPr="008C569E" w:rsidRDefault="00B12DFA" w:rsidP="00B12DFA">
      <w:pPr>
        <w:jc w:val="both"/>
      </w:pPr>
      <w:r w:rsidRPr="008C569E">
        <w:t>P321 Odborné ošetření dle symptomů.</w:t>
      </w:r>
    </w:p>
    <w:p w:rsidR="00B12DFA" w:rsidRPr="008C569E" w:rsidRDefault="00B12DFA" w:rsidP="00B12DFA">
      <w:pPr>
        <w:jc w:val="both"/>
      </w:pPr>
      <w:r w:rsidRPr="008C569E">
        <w:t>P362 Kontaminovaný oděv svlékněte a před opětovným použitím vyperte.</w:t>
      </w:r>
    </w:p>
    <w:p w:rsidR="0090150D" w:rsidRPr="008C569E" w:rsidRDefault="0090150D" w:rsidP="00B12DFA">
      <w:pPr>
        <w:jc w:val="both"/>
      </w:pPr>
      <w:r w:rsidRPr="008C569E">
        <w:t>P501 Odstraňte obal/obsah jako nebezpečný odpad.</w:t>
      </w:r>
    </w:p>
    <w:p w:rsidR="00B12DFA" w:rsidRPr="008C569E" w:rsidRDefault="00B12DFA" w:rsidP="00B12DFA">
      <w:pPr>
        <w:jc w:val="both"/>
      </w:pPr>
      <w:r w:rsidRPr="008C569E">
        <w:t>P302+P352 PŘI STYKU S KŮŽÍ: Omyjte velkým množstvím mýdla a vody</w:t>
      </w:r>
      <w:r w:rsidR="00462544" w:rsidRPr="008C569E">
        <w:t>.</w:t>
      </w:r>
    </w:p>
    <w:p w:rsidR="00B12DFA" w:rsidRPr="008C569E" w:rsidRDefault="00B12DFA" w:rsidP="00B12DFA">
      <w:pPr>
        <w:jc w:val="both"/>
      </w:pPr>
      <w:r w:rsidRPr="008C569E">
        <w:t>P305+P351+P338 PŘI ZASAŽENÍ OČÍ: Několik minut opatrně vyplachujte vodou. Vyjměte kontaktní čočky, jsou-li nasazeny</w:t>
      </w:r>
      <w:r w:rsidR="00A77C66" w:rsidRPr="008C569E">
        <w:t>,</w:t>
      </w:r>
      <w:r w:rsidRPr="008C569E">
        <w:t xml:space="preserve"> a pokud je lze vyjmout snadno. Pokračujte ve vyplachování.</w:t>
      </w:r>
    </w:p>
    <w:p w:rsidR="00B12DFA" w:rsidRPr="008C569E" w:rsidRDefault="00B12DFA" w:rsidP="00B12DFA">
      <w:pPr>
        <w:jc w:val="both"/>
      </w:pPr>
      <w:r w:rsidRPr="008C569E">
        <w:t>P332+P313 Při podráždění kůže: Vyhledejte lékařskou pomoc</w:t>
      </w:r>
      <w:r w:rsidR="00462544" w:rsidRPr="008C569E">
        <w:t>.</w:t>
      </w:r>
    </w:p>
    <w:p w:rsidR="00B12DFA" w:rsidRPr="008C569E" w:rsidRDefault="00B12DFA" w:rsidP="00B12DFA">
      <w:pPr>
        <w:jc w:val="both"/>
      </w:pPr>
      <w:r w:rsidRPr="008C569E">
        <w:t>P337+P313 Přetrvává-li podráždění očí: Vyhledejte lékařskou pomoc/ošetření</w:t>
      </w:r>
      <w:r w:rsidR="00462544" w:rsidRPr="008C569E">
        <w:t>.</w:t>
      </w:r>
    </w:p>
    <w:p w:rsidR="00B12DFA" w:rsidRPr="008C569E" w:rsidRDefault="00B12DFA" w:rsidP="00435151">
      <w:pPr>
        <w:jc w:val="both"/>
      </w:pPr>
    </w:p>
    <w:p w:rsidR="00435151" w:rsidRPr="008C569E" w:rsidRDefault="00435151" w:rsidP="00435151">
      <w:pPr>
        <w:rPr>
          <w:b/>
        </w:rPr>
      </w:pPr>
      <w:r w:rsidRPr="008C569E">
        <w:rPr>
          <w:b/>
        </w:rPr>
        <w:t>Seznam důležitých R vět (Oddíl 3 BL):</w:t>
      </w:r>
    </w:p>
    <w:p w:rsidR="00435151" w:rsidRPr="008C569E" w:rsidRDefault="00435151" w:rsidP="00435151">
      <w:r w:rsidRPr="008C569E">
        <w:t>R36 Dráždí oči.</w:t>
      </w:r>
    </w:p>
    <w:p w:rsidR="00D85C0A" w:rsidRPr="008C569E" w:rsidRDefault="00D85C0A" w:rsidP="00435151">
      <w:r w:rsidRPr="008C569E">
        <w:t>R36/38 Dráždí oči a kůži.</w:t>
      </w:r>
    </w:p>
    <w:p w:rsidR="00435151" w:rsidRPr="008C569E" w:rsidRDefault="00435151" w:rsidP="00435151">
      <w:r w:rsidRPr="008C569E">
        <w:t>R41 Nebezpečí vážného poškození očí.</w:t>
      </w:r>
    </w:p>
    <w:p w:rsidR="00435151" w:rsidRPr="008C569E" w:rsidRDefault="00435151" w:rsidP="00435151"/>
    <w:p w:rsidR="00435151" w:rsidRPr="008C569E" w:rsidRDefault="00435151" w:rsidP="00435151">
      <w:pPr>
        <w:rPr>
          <w:b/>
        </w:rPr>
      </w:pPr>
      <w:r w:rsidRPr="008C569E">
        <w:rPr>
          <w:b/>
        </w:rPr>
        <w:t>Seznam důležitých H vět (Oddíl 3 BL) :</w:t>
      </w:r>
    </w:p>
    <w:p w:rsidR="00F520BB" w:rsidRPr="008C569E" w:rsidRDefault="00F520BB" w:rsidP="00435151">
      <w:r w:rsidRPr="008C569E">
        <w:t>H315 Dráždí kůži.</w:t>
      </w:r>
    </w:p>
    <w:p w:rsidR="00435151" w:rsidRPr="008C569E" w:rsidRDefault="00435151" w:rsidP="00435151">
      <w:r w:rsidRPr="008C569E">
        <w:lastRenderedPageBreak/>
        <w:t>H318 Způsobuje vážné poškození očí</w:t>
      </w:r>
      <w:r w:rsidR="00462544" w:rsidRPr="008C569E">
        <w:t>.</w:t>
      </w:r>
    </w:p>
    <w:p w:rsidR="00435151" w:rsidRPr="008C569E" w:rsidRDefault="00435151" w:rsidP="00435151">
      <w:r w:rsidRPr="008C569E">
        <w:t>H319 Způsobuje vážné podráždění očí</w:t>
      </w:r>
      <w:r w:rsidR="00462544" w:rsidRPr="008C569E">
        <w:t>.</w:t>
      </w:r>
    </w:p>
    <w:p w:rsidR="00435151" w:rsidRPr="008C569E" w:rsidRDefault="00435151" w:rsidP="00435151">
      <w:pPr>
        <w:rPr>
          <w:b/>
        </w:rPr>
      </w:pPr>
    </w:p>
    <w:p w:rsidR="00435151" w:rsidRPr="008C569E" w:rsidRDefault="00435151" w:rsidP="00435151">
      <w:pPr>
        <w:rPr>
          <w:b/>
          <w:sz w:val="24"/>
        </w:rPr>
      </w:pPr>
      <w:r w:rsidRPr="008C569E">
        <w:rPr>
          <w:b/>
          <w:sz w:val="24"/>
        </w:rPr>
        <w:t>Pokyny pro školení nebo instruktáž:</w:t>
      </w:r>
    </w:p>
    <w:p w:rsidR="00435151" w:rsidRPr="008C569E" w:rsidRDefault="00435151" w:rsidP="00435151">
      <w:r w:rsidRPr="008C569E">
        <w:t>Uživatel produktu by se měl seznámit s bezpečnostním listem.</w:t>
      </w:r>
    </w:p>
    <w:p w:rsidR="00435151" w:rsidRPr="002341BF" w:rsidRDefault="00435151" w:rsidP="00435151">
      <w:pPr>
        <w:rPr>
          <w:color w:val="FF0000"/>
        </w:rPr>
      </w:pPr>
    </w:p>
    <w:p w:rsidR="00435151" w:rsidRPr="00F520BB" w:rsidRDefault="00435151" w:rsidP="00435151">
      <w:pPr>
        <w:rPr>
          <w:b/>
          <w:sz w:val="24"/>
        </w:rPr>
      </w:pPr>
      <w:r w:rsidRPr="00F520BB">
        <w:rPr>
          <w:b/>
          <w:sz w:val="24"/>
        </w:rPr>
        <w:t>Zdroje údajů použitých při sestavování bezpečnostního listu:</w:t>
      </w:r>
    </w:p>
    <w:p w:rsidR="00435151" w:rsidRDefault="00435151" w:rsidP="00435151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F520BB">
        <w:t>BL výrobce směsi</w:t>
      </w:r>
    </w:p>
    <w:p w:rsidR="00435151" w:rsidRPr="003723D2" w:rsidRDefault="003723D2" w:rsidP="003723D2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hyperlink r:id="rId15" w:history="1">
        <w:r w:rsidRPr="007E3277">
          <w:rPr>
            <w:rStyle w:val="Hypertextovodkaz"/>
          </w:rPr>
          <w:t>http://esis.jrc.ec.europa.eu/index.php?PGM=cla</w:t>
        </w:r>
      </w:hyperlink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left="426" w:hanging="426"/>
      </w:pPr>
      <w:r w:rsidRPr="00F520BB">
        <w:t>Směrnice č. 67/548/EHS (DSD)</w:t>
      </w:r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left="426" w:hanging="426"/>
      </w:pPr>
      <w:r w:rsidRPr="00F520BB">
        <w:t>Směrnice č. 1999/45/ES (DPD)</w:t>
      </w:r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hanging="1080"/>
        <w:jc w:val="both"/>
      </w:pPr>
      <w:r w:rsidRPr="00F520BB">
        <w:t>Nař. EP a Rady (ES) č. 1907/2006 (REACH)</w:t>
      </w:r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hanging="1080"/>
        <w:jc w:val="both"/>
      </w:pPr>
      <w:r w:rsidRPr="00F520BB">
        <w:t>Nař. EP a Rady (ES) č. 1272/2008 (CLP), ve znění Nař. EP a Rady (ES) č. 790/2009</w:t>
      </w:r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hanging="1080"/>
        <w:jc w:val="both"/>
      </w:pPr>
      <w:r w:rsidRPr="00F520BB">
        <w:t>Nař. komise (EU) č. 453/2010, kterým se mění Nař. EP a Rady (ES) č. 1907/2006 - přílohy č. I (II)</w:t>
      </w:r>
    </w:p>
    <w:p w:rsidR="00435151" w:rsidRPr="00F520BB" w:rsidRDefault="00435151" w:rsidP="00435151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F520BB">
        <w:t>Marhold J. (1980): Přehled průmyslové toxikologie; AVICENUM Praha</w:t>
      </w:r>
    </w:p>
    <w:p w:rsidR="00435151" w:rsidRPr="00CB11DF" w:rsidRDefault="00435151" w:rsidP="00435151">
      <w:pPr>
        <w:rPr>
          <w:color w:val="FF0000"/>
        </w:rPr>
      </w:pPr>
    </w:p>
    <w:p w:rsidR="00435151" w:rsidRPr="00F520BB" w:rsidRDefault="00435151" w:rsidP="00435151">
      <w:pPr>
        <w:rPr>
          <w:b/>
        </w:rPr>
      </w:pPr>
      <w:r w:rsidRPr="00F520BB">
        <w:rPr>
          <w:b/>
        </w:rPr>
        <w:t>Zkratky:</w:t>
      </w:r>
    </w:p>
    <w:p w:rsidR="00435151" w:rsidRPr="00F520BB" w:rsidRDefault="00435151" w:rsidP="00435151">
      <w:pPr>
        <w:ind w:left="540" w:hanging="540"/>
      </w:pPr>
      <w:r w:rsidRPr="00F520BB">
        <w:t>CLP</w:t>
      </w:r>
      <w:r w:rsidRPr="00F520BB">
        <w:tab/>
      </w:r>
      <w:r w:rsidRPr="00F520BB">
        <w:tab/>
        <w:t>Nařízení (ES) č. 1272/2008 o klasifikaci, označování a balení chemických látek a směsí</w:t>
      </w:r>
    </w:p>
    <w:p w:rsidR="00435151" w:rsidRPr="00F520BB" w:rsidRDefault="00435151" w:rsidP="00435151">
      <w:pPr>
        <w:ind w:left="540" w:hanging="540"/>
      </w:pPr>
      <w:r w:rsidRPr="00F520BB">
        <w:t>CMR</w:t>
      </w:r>
      <w:r w:rsidRPr="00F520BB">
        <w:tab/>
      </w:r>
      <w:r w:rsidRPr="00F520BB">
        <w:tab/>
        <w:t>Látka karcinogenní, mutagenní, poškozující reprodukci</w:t>
      </w:r>
    </w:p>
    <w:p w:rsidR="00435151" w:rsidRPr="00F520BB" w:rsidRDefault="00435151" w:rsidP="00435151">
      <w:pPr>
        <w:ind w:left="540" w:hanging="540"/>
      </w:pPr>
      <w:r w:rsidRPr="00F520BB">
        <w:t>CSR</w:t>
      </w:r>
      <w:r w:rsidRPr="00F520BB">
        <w:tab/>
      </w:r>
      <w:r w:rsidRPr="00F520BB">
        <w:tab/>
        <w:t>Zpráva o chemické bezpečnosti</w:t>
      </w:r>
    </w:p>
    <w:p w:rsidR="00435151" w:rsidRPr="00F520BB" w:rsidRDefault="00435151" w:rsidP="00435151">
      <w:pPr>
        <w:ind w:left="540" w:hanging="540"/>
      </w:pPr>
      <w:r w:rsidRPr="00F520BB">
        <w:t>DPD</w:t>
      </w:r>
      <w:r w:rsidRPr="00F520BB">
        <w:tab/>
      </w:r>
      <w:r w:rsidRPr="00F520BB">
        <w:tab/>
        <w:t>Směrnice č. 1999/45/ES o klasifikaci, balení a označování chemických směsí</w:t>
      </w:r>
    </w:p>
    <w:p w:rsidR="00435151" w:rsidRPr="00F520BB" w:rsidRDefault="00435151" w:rsidP="00435151">
      <w:pPr>
        <w:ind w:left="540" w:hanging="540"/>
      </w:pPr>
      <w:r w:rsidRPr="00F520BB">
        <w:t>DSD</w:t>
      </w:r>
      <w:r w:rsidRPr="00F520BB">
        <w:tab/>
      </w:r>
      <w:r w:rsidRPr="00F520BB">
        <w:tab/>
        <w:t>Směrnice č. 67/548/EHS o klasifikaci, balení a označování chemických látek</w:t>
      </w:r>
    </w:p>
    <w:p w:rsidR="00435151" w:rsidRPr="00F520BB" w:rsidRDefault="00435151" w:rsidP="00435151">
      <w:pPr>
        <w:ind w:left="540" w:hanging="540"/>
      </w:pPr>
      <w:r w:rsidRPr="00F520BB">
        <w:t>PBT</w:t>
      </w:r>
      <w:r w:rsidRPr="00F520BB">
        <w:tab/>
      </w:r>
      <w:r w:rsidRPr="00F520BB">
        <w:tab/>
        <w:t>Látka perzistentní, bioakumulativní, toxická</w:t>
      </w:r>
    </w:p>
    <w:p w:rsidR="00435151" w:rsidRPr="00F520BB" w:rsidRDefault="00435151" w:rsidP="00435151">
      <w:pPr>
        <w:ind w:left="540" w:hanging="540"/>
      </w:pPr>
      <w:r w:rsidRPr="00F520BB">
        <w:t>POPs</w:t>
      </w:r>
      <w:r w:rsidRPr="00F520BB">
        <w:tab/>
      </w:r>
      <w:r w:rsidRPr="00F520BB">
        <w:tab/>
        <w:t>Perzistentní organické látky</w:t>
      </w:r>
    </w:p>
    <w:p w:rsidR="00435151" w:rsidRPr="00F520BB" w:rsidRDefault="00435151" w:rsidP="00435151">
      <w:pPr>
        <w:ind w:left="705" w:hanging="705"/>
      </w:pPr>
      <w:r w:rsidRPr="00F520BB">
        <w:t>REACH</w:t>
      </w:r>
      <w:r w:rsidRPr="00F520BB">
        <w:tab/>
        <w:t>Nařízení (ES) č. 1907/2006 o registraci, hodnocení, povolování a omezování chemických látek a o zřízení ECHA</w:t>
      </w:r>
    </w:p>
    <w:p w:rsidR="00435151" w:rsidRPr="00F520BB" w:rsidRDefault="00435151" w:rsidP="00435151">
      <w:pPr>
        <w:ind w:left="540" w:hanging="540"/>
      </w:pPr>
      <w:r w:rsidRPr="00F520BB">
        <w:t xml:space="preserve">SVHC </w:t>
      </w:r>
      <w:r w:rsidRPr="00F520BB">
        <w:tab/>
        <w:t>Látky vzbuzující mimořádné obavy</w:t>
      </w:r>
    </w:p>
    <w:p w:rsidR="00435151" w:rsidRPr="00F520BB" w:rsidRDefault="00435151" w:rsidP="00435151">
      <w:pPr>
        <w:ind w:left="705" w:hanging="705"/>
      </w:pPr>
      <w:r w:rsidRPr="00F520BB">
        <w:t xml:space="preserve">UVCB </w:t>
      </w:r>
      <w:r w:rsidRPr="00F520BB">
        <w:tab/>
        <w:t>Látky s neznámým nebo proměnlivých složením, komplexní reakční produkty nebo biologické materiály</w:t>
      </w:r>
    </w:p>
    <w:p w:rsidR="00435151" w:rsidRPr="00F520BB" w:rsidRDefault="00435151" w:rsidP="00435151">
      <w:pPr>
        <w:ind w:left="705" w:hanging="705"/>
      </w:pPr>
      <w:r w:rsidRPr="00F520BB">
        <w:t>vPvB</w:t>
      </w:r>
      <w:r w:rsidRPr="00F520BB">
        <w:tab/>
        <w:t>Látky vysoce perzistentní, vysoce bioakumulativní</w:t>
      </w:r>
    </w:p>
    <w:p w:rsidR="00435151" w:rsidRPr="00F520BB" w:rsidRDefault="00435151" w:rsidP="00435151">
      <w:pPr>
        <w:ind w:left="705" w:hanging="705"/>
      </w:pPr>
    </w:p>
    <w:p w:rsidR="00435151" w:rsidRPr="00F520BB" w:rsidRDefault="00435151" w:rsidP="00435151">
      <w:pPr>
        <w:rPr>
          <w:b/>
          <w:sz w:val="24"/>
        </w:rPr>
      </w:pPr>
      <w:r w:rsidRPr="00F520BB">
        <w:rPr>
          <w:b/>
          <w:sz w:val="24"/>
        </w:rPr>
        <w:t>Bezpečnostní list byl zpracován:</w:t>
      </w:r>
    </w:p>
    <w:p w:rsidR="00435151" w:rsidRPr="00F520BB" w:rsidRDefault="00435151" w:rsidP="00435151">
      <w:r w:rsidRPr="00F520BB">
        <w:t>SVHF Martinovský Liberec</w:t>
      </w:r>
    </w:p>
    <w:p w:rsidR="00435151" w:rsidRPr="00F520BB" w:rsidRDefault="00435151" w:rsidP="00435151">
      <w:r w:rsidRPr="00F520BB">
        <w:t>Jáchymovská 277/14, 460 10 Liberec 10</w:t>
      </w:r>
    </w:p>
    <w:p w:rsidR="00435151" w:rsidRPr="00F520BB" w:rsidRDefault="0078486A" w:rsidP="00435151">
      <w:r>
        <w:t>tel/fax</w:t>
      </w:r>
      <w:r w:rsidR="00435151" w:rsidRPr="00F520BB">
        <w:t>:  +420 603 834 867; +420 485 150 186</w:t>
      </w:r>
    </w:p>
    <w:p w:rsidR="00435151" w:rsidRPr="00CB11DF" w:rsidRDefault="00435151" w:rsidP="00435151">
      <w:pPr>
        <w:rPr>
          <w:color w:val="FF0000"/>
        </w:rPr>
      </w:pPr>
      <w:r w:rsidRPr="00F520BB">
        <w:t>e-mail:</w:t>
      </w:r>
      <w:r w:rsidRPr="00F520BB">
        <w:rPr>
          <w:color w:val="0000FF"/>
        </w:rPr>
        <w:t xml:space="preserve"> </w:t>
      </w:r>
      <w:hyperlink r:id="rId16" w:history="1">
        <w:r w:rsidRPr="00F520BB">
          <w:rPr>
            <w:rStyle w:val="Hypertextovodkaz"/>
          </w:rPr>
          <w:t>martinovsky@svhf.cz</w:t>
        </w:r>
      </w:hyperlink>
      <w:r w:rsidR="00F520BB" w:rsidRPr="00F520BB">
        <w:rPr>
          <w:color w:val="0000FF"/>
        </w:rPr>
        <w:t xml:space="preserve"> </w:t>
      </w:r>
      <w:r w:rsidRPr="00CB11DF">
        <w:rPr>
          <w:color w:val="FF0000"/>
        </w:rPr>
        <w:t xml:space="preserve"> </w:t>
      </w:r>
    </w:p>
    <w:p w:rsidR="00435151" w:rsidRPr="00CB11DF" w:rsidRDefault="00435151" w:rsidP="00435151">
      <w:pPr>
        <w:rPr>
          <w:b/>
          <w:color w:val="FF0000"/>
        </w:rPr>
      </w:pPr>
    </w:p>
    <w:p w:rsidR="00435151" w:rsidRPr="00F520BB" w:rsidRDefault="00435151" w:rsidP="00435151">
      <w:pPr>
        <w:rPr>
          <w:b/>
          <w:sz w:val="24"/>
        </w:rPr>
      </w:pPr>
      <w:r w:rsidRPr="00F520BB">
        <w:rPr>
          <w:b/>
          <w:sz w:val="24"/>
        </w:rPr>
        <w:t>Změny při revizi bezpečnostního listu:</w:t>
      </w:r>
    </w:p>
    <w:p w:rsidR="00435151" w:rsidRDefault="00435151" w:rsidP="00435151">
      <w:r w:rsidRPr="00F520BB">
        <w:t xml:space="preserve">BL výrobce byl zpracován </w:t>
      </w:r>
      <w:r w:rsidR="00F520BB" w:rsidRPr="00F520BB">
        <w:t>13.</w:t>
      </w:r>
      <w:r w:rsidR="0078486A">
        <w:t xml:space="preserve"> </w:t>
      </w:r>
      <w:r w:rsidR="00F520BB" w:rsidRPr="00F520BB">
        <w:t>8.</w:t>
      </w:r>
      <w:r w:rsidR="0078486A">
        <w:t xml:space="preserve"> </w:t>
      </w:r>
      <w:r w:rsidRPr="00F520BB">
        <w:t>2012; Český BL byl zpracován dne 24.</w:t>
      </w:r>
      <w:r w:rsidR="0078486A">
        <w:t xml:space="preserve"> </w:t>
      </w:r>
      <w:r w:rsidRPr="00F520BB">
        <w:t>8.</w:t>
      </w:r>
      <w:r w:rsidR="0078486A">
        <w:t xml:space="preserve"> </w:t>
      </w:r>
      <w:r w:rsidRPr="00F520BB">
        <w:t>2012</w:t>
      </w:r>
    </w:p>
    <w:p w:rsidR="0078486A" w:rsidRDefault="0078486A" w:rsidP="00435151">
      <w:r>
        <w:t>Revize BL výrobce byla zpracována 13. 8. 2013 (změna názvu, aktualizace údajů)</w:t>
      </w:r>
    </w:p>
    <w:p w:rsidR="00C41995" w:rsidRPr="008C569E" w:rsidRDefault="0078486A" w:rsidP="00C41995">
      <w:r>
        <w:t>1. Revize ČBL byla zpracována 8. 10. 2014</w:t>
      </w:r>
      <w:r w:rsidR="00C41995">
        <w:t xml:space="preserve"> (změna názvu, </w:t>
      </w:r>
      <w:r w:rsidR="008C569E">
        <w:t>změna Standardních pokynů pro bezpečné zacházení a změna Pokynů pro bezpečné zacházení</w:t>
      </w:r>
      <w:r w:rsidR="008C569E" w:rsidRPr="008C569E">
        <w:t xml:space="preserve">, </w:t>
      </w:r>
      <w:r w:rsidR="00C41995" w:rsidRPr="008C569E">
        <w:t>aktualizace údajů</w:t>
      </w:r>
      <w:r w:rsidR="008C569E" w:rsidRPr="008C569E">
        <w:t>, změny oddílů 1,2,4,5,8,16</w:t>
      </w:r>
      <w:r w:rsidR="00C41995" w:rsidRPr="008C569E">
        <w:t>)</w:t>
      </w:r>
    </w:p>
    <w:p w:rsidR="0078486A" w:rsidRPr="00F520BB" w:rsidRDefault="0078486A" w:rsidP="0078486A"/>
    <w:p w:rsidR="00435151" w:rsidRPr="00F520BB" w:rsidRDefault="00435151" w:rsidP="00435151"/>
    <w:p w:rsidR="00435151" w:rsidRPr="00F520BB" w:rsidRDefault="00435151" w:rsidP="00435151">
      <w:pPr>
        <w:jc w:val="center"/>
      </w:pPr>
      <w:r w:rsidRPr="00F520BB">
        <w:t>o-o-o-o-o-o-o-o-o</w:t>
      </w:r>
    </w:p>
    <w:p w:rsidR="00435151" w:rsidRPr="00CB11DF" w:rsidRDefault="00435151" w:rsidP="00435151">
      <w:pPr>
        <w:rPr>
          <w:color w:val="FF0000"/>
        </w:rPr>
      </w:pPr>
    </w:p>
    <w:p w:rsidR="006C4EAB" w:rsidRDefault="006C4EAB"/>
    <w:sectPr w:rsidR="006C4EA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08" w:rsidRDefault="00077B08">
      <w:r>
        <w:separator/>
      </w:r>
    </w:p>
  </w:endnote>
  <w:endnote w:type="continuationSeparator" w:id="0">
    <w:p w:rsidR="00077B08" w:rsidRDefault="0007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9C" w:rsidRPr="003E1B99" w:rsidRDefault="00F73675" w:rsidP="00F73675">
    <w:pPr>
      <w:pStyle w:val="Zpat"/>
      <w:tabs>
        <w:tab w:val="center" w:pos="4536"/>
        <w:tab w:val="right" w:pos="9072"/>
      </w:tabs>
      <w:rPr>
        <w:b/>
        <w:sz w:val="18"/>
        <w:szCs w:val="18"/>
      </w:rPr>
    </w:pPr>
    <w:r>
      <w:rPr>
        <w:b/>
        <w:sz w:val="18"/>
        <w:szCs w:val="18"/>
      </w:rPr>
      <w:t xml:space="preserve">BL 041 EASY SQUEEZE </w:t>
    </w:r>
    <w:r w:rsidRPr="00F73675">
      <w:rPr>
        <w:b/>
        <w:sz w:val="18"/>
        <w:szCs w:val="18"/>
      </w:rPr>
      <w:tab/>
    </w:r>
    <w:r>
      <w:rPr>
        <w:b/>
        <w:sz w:val="18"/>
        <w:szCs w:val="18"/>
      </w:rPr>
      <w:t xml:space="preserve">Strana </w:t>
    </w:r>
    <w:r w:rsidRPr="00F73675">
      <w:rPr>
        <w:b/>
        <w:sz w:val="18"/>
        <w:szCs w:val="18"/>
      </w:rPr>
      <w:fldChar w:fldCharType="begin"/>
    </w:r>
    <w:r w:rsidRPr="00F73675">
      <w:rPr>
        <w:b/>
        <w:sz w:val="18"/>
        <w:szCs w:val="18"/>
      </w:rPr>
      <w:instrText>PAGE   \* MERGEFORMAT</w:instrText>
    </w:r>
    <w:r w:rsidRPr="00F73675">
      <w:rPr>
        <w:b/>
        <w:sz w:val="18"/>
        <w:szCs w:val="18"/>
      </w:rPr>
      <w:fldChar w:fldCharType="separate"/>
    </w:r>
    <w:r w:rsidR="0035546B">
      <w:rPr>
        <w:b/>
        <w:noProof/>
        <w:sz w:val="18"/>
        <w:szCs w:val="18"/>
      </w:rPr>
      <w:t>9</w:t>
    </w:r>
    <w:r w:rsidRPr="00F73675">
      <w:rPr>
        <w:b/>
        <w:sz w:val="18"/>
        <w:szCs w:val="18"/>
      </w:rPr>
      <w:fldChar w:fldCharType="end"/>
    </w:r>
    <w:r w:rsidR="0078486A">
      <w:rPr>
        <w:b/>
        <w:sz w:val="18"/>
        <w:szCs w:val="18"/>
      </w:rPr>
      <w:t xml:space="preserve"> (celkem </w:t>
    </w:r>
    <w:r>
      <w:rPr>
        <w:b/>
        <w:sz w:val="18"/>
        <w:szCs w:val="18"/>
      </w:rPr>
      <w:t>9</w:t>
    </w:r>
    <w:r w:rsidR="0078486A">
      <w:rPr>
        <w:b/>
        <w:sz w:val="18"/>
        <w:szCs w:val="18"/>
      </w:rPr>
      <w:t xml:space="preserve">)   </w:t>
    </w:r>
    <w:r w:rsidR="0078486A">
      <w:rPr>
        <w:b/>
        <w:sz w:val="18"/>
        <w:szCs w:val="18"/>
      </w:rPr>
      <w:tab/>
    </w:r>
    <w:r>
      <w:rPr>
        <w:b/>
        <w:sz w:val="18"/>
        <w:szCs w:val="18"/>
      </w:rPr>
      <w:t>SYPERA s.r.o.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08" w:rsidRDefault="00077B08">
      <w:r>
        <w:separator/>
      </w:r>
    </w:p>
  </w:footnote>
  <w:footnote w:type="continuationSeparator" w:id="0">
    <w:p w:rsidR="00077B08" w:rsidRDefault="0007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F5D"/>
    <w:multiLevelType w:val="multilevel"/>
    <w:tmpl w:val="3DF670EA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2E6737B"/>
    <w:multiLevelType w:val="multilevel"/>
    <w:tmpl w:val="2BEAFAAA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Letter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lowerLetter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">
    <w:nsid w:val="096D44BB"/>
    <w:multiLevelType w:val="multilevel"/>
    <w:tmpl w:val="07EC232A"/>
    <w:lvl w:ilvl="0">
      <w:start w:val="12"/>
      <w:numFmt w:val="decimal"/>
      <w:lvlText w:val="%1.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3">
    <w:nsid w:val="15080EF7"/>
    <w:multiLevelType w:val="multilevel"/>
    <w:tmpl w:val="1568B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AFC7024"/>
    <w:multiLevelType w:val="multilevel"/>
    <w:tmpl w:val="ABA2FC3A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lowerLetter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lowerLetter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>
    <w:nsid w:val="1CAB7EF6"/>
    <w:multiLevelType w:val="multilevel"/>
    <w:tmpl w:val="F44E196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1D0A2F66"/>
    <w:multiLevelType w:val="multilevel"/>
    <w:tmpl w:val="5270E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E9A3860"/>
    <w:multiLevelType w:val="multilevel"/>
    <w:tmpl w:val="E56E37A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>
    <w:nsid w:val="26025780"/>
    <w:multiLevelType w:val="singleLevel"/>
    <w:tmpl w:val="093C849A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2EA1115D"/>
    <w:multiLevelType w:val="multilevel"/>
    <w:tmpl w:val="C56A2648"/>
    <w:lvl w:ilvl="0">
      <w:start w:val="10"/>
      <w:numFmt w:val="decimal"/>
      <w:lvlText w:val="%1.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0">
    <w:nsid w:val="2EF93632"/>
    <w:multiLevelType w:val="multilevel"/>
    <w:tmpl w:val="9882564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lowerLetter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1">
    <w:nsid w:val="3A1032BD"/>
    <w:multiLevelType w:val="multilevel"/>
    <w:tmpl w:val="72F6C802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4A404DDC"/>
    <w:multiLevelType w:val="multilevel"/>
    <w:tmpl w:val="5CD498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F372A59"/>
    <w:multiLevelType w:val="multilevel"/>
    <w:tmpl w:val="A3F699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C311E0D"/>
    <w:multiLevelType w:val="multilevel"/>
    <w:tmpl w:val="3514A59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D5018DC"/>
    <w:multiLevelType w:val="multilevel"/>
    <w:tmpl w:val="EACE65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4252081"/>
    <w:multiLevelType w:val="multilevel"/>
    <w:tmpl w:val="7E060F0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CD74BBD"/>
    <w:multiLevelType w:val="multilevel"/>
    <w:tmpl w:val="CB283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lowerLett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lowerLett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6651FA"/>
    <w:multiLevelType w:val="hybridMultilevel"/>
    <w:tmpl w:val="71600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50"/>
    <w:rsid w:val="0002440F"/>
    <w:rsid w:val="00077B08"/>
    <w:rsid w:val="00131933"/>
    <w:rsid w:val="00185EF9"/>
    <w:rsid w:val="001B6A5A"/>
    <w:rsid w:val="002341BF"/>
    <w:rsid w:val="00291D18"/>
    <w:rsid w:val="00345793"/>
    <w:rsid w:val="00353D63"/>
    <w:rsid w:val="0035546B"/>
    <w:rsid w:val="003723D2"/>
    <w:rsid w:val="003B5786"/>
    <w:rsid w:val="003F7564"/>
    <w:rsid w:val="00435151"/>
    <w:rsid w:val="004440D8"/>
    <w:rsid w:val="00462544"/>
    <w:rsid w:val="004B3433"/>
    <w:rsid w:val="00561C08"/>
    <w:rsid w:val="006C4EAB"/>
    <w:rsid w:val="0078486A"/>
    <w:rsid w:val="007B2FAE"/>
    <w:rsid w:val="00815CF9"/>
    <w:rsid w:val="008372D2"/>
    <w:rsid w:val="00856077"/>
    <w:rsid w:val="008700AD"/>
    <w:rsid w:val="00874B0B"/>
    <w:rsid w:val="008A38ED"/>
    <w:rsid w:val="008C569E"/>
    <w:rsid w:val="008C6993"/>
    <w:rsid w:val="008E246F"/>
    <w:rsid w:val="008F768C"/>
    <w:rsid w:val="0090150D"/>
    <w:rsid w:val="009E28BB"/>
    <w:rsid w:val="00A1073B"/>
    <w:rsid w:val="00A3749C"/>
    <w:rsid w:val="00A5311C"/>
    <w:rsid w:val="00A77C66"/>
    <w:rsid w:val="00A97A3C"/>
    <w:rsid w:val="00AD4C7A"/>
    <w:rsid w:val="00B12DFA"/>
    <w:rsid w:val="00B64B44"/>
    <w:rsid w:val="00BB41B8"/>
    <w:rsid w:val="00BC3490"/>
    <w:rsid w:val="00C00650"/>
    <w:rsid w:val="00C10028"/>
    <w:rsid w:val="00C41995"/>
    <w:rsid w:val="00CC589D"/>
    <w:rsid w:val="00D22D31"/>
    <w:rsid w:val="00D756AB"/>
    <w:rsid w:val="00D85C0A"/>
    <w:rsid w:val="00DB7BCD"/>
    <w:rsid w:val="00DC6524"/>
    <w:rsid w:val="00ED5291"/>
    <w:rsid w:val="00F00B4E"/>
    <w:rsid w:val="00F520BB"/>
    <w:rsid w:val="00F73675"/>
    <w:rsid w:val="00FA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5151"/>
  </w:style>
  <w:style w:type="paragraph" w:styleId="Nadpis1">
    <w:name w:val="heading 1"/>
    <w:basedOn w:val="Normln"/>
    <w:next w:val="Normln"/>
    <w:qFormat/>
    <w:rsid w:val="00435151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435151"/>
    <w:rPr>
      <w:color w:val="0000FF"/>
      <w:u w:val="single"/>
    </w:rPr>
  </w:style>
  <w:style w:type="paragraph" w:styleId="Zhlav">
    <w:name w:val="header"/>
    <w:basedOn w:val="Normln"/>
    <w:rsid w:val="0043515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35151"/>
    <w:pPr>
      <w:jc w:val="both"/>
    </w:pPr>
    <w:rPr>
      <w:sz w:val="24"/>
    </w:rPr>
  </w:style>
  <w:style w:type="paragraph" w:styleId="Zkladntextodsazen">
    <w:name w:val="Body Text Indent"/>
    <w:basedOn w:val="Normln"/>
    <w:rsid w:val="00435151"/>
    <w:pPr>
      <w:ind w:left="1068"/>
    </w:pPr>
  </w:style>
  <w:style w:type="paragraph" w:styleId="Zkladntextodsazen2">
    <w:name w:val="Body Text Indent 2"/>
    <w:basedOn w:val="Normln"/>
    <w:rsid w:val="00435151"/>
    <w:pPr>
      <w:ind w:left="426"/>
    </w:pPr>
    <w:rPr>
      <w:sz w:val="24"/>
    </w:rPr>
  </w:style>
  <w:style w:type="paragraph" w:styleId="Zkladntextodsazen3">
    <w:name w:val="Body Text Indent 3"/>
    <w:basedOn w:val="Normln"/>
    <w:rsid w:val="00435151"/>
    <w:pPr>
      <w:ind w:left="1134"/>
    </w:pPr>
    <w:rPr>
      <w:sz w:val="24"/>
    </w:rPr>
  </w:style>
  <w:style w:type="paragraph" w:customStyle="1" w:styleId="Normaltab">
    <w:name w:val="Normaltab"/>
    <w:basedOn w:val="Normln"/>
    <w:rsid w:val="00435151"/>
    <w:rPr>
      <w:lang w:eastAsia="en-US"/>
    </w:rPr>
  </w:style>
  <w:style w:type="paragraph" w:styleId="Zpat">
    <w:name w:val="footer"/>
    <w:basedOn w:val="Normln"/>
    <w:rsid w:val="004351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5151"/>
  </w:style>
  <w:style w:type="character" w:customStyle="1" w:styleId="hps">
    <w:name w:val="hps"/>
    <w:rsid w:val="00353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pera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upload.wikimedia.org/wikipedia/commons/thumb/c/c3/GHS-pictogram-exclam.svg/100px-GHS-pictogram-exclam.svg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rtinovsky@svhf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esis.jrc.ec.europa.eu/index.php?PGM=cla" TargetMode="External"/><Relationship Id="rId10" Type="http://schemas.openxmlformats.org/officeDocument/2006/relationships/hyperlink" Target="http://cs.wikipedia.org/wiki/Soubor:GHS-pictogram-exclam.sv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upload.wikimedia.org/wikipedia/commons/thumb/a/a1/GHS-pictogram-acid.svg/100px-GHS-pictogram-acid.svg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2790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SVHF Martinovský</Company>
  <LinksUpToDate>false</LinksUpToDate>
  <CharactersWithSpaces>19214</CharactersWithSpaces>
  <SharedDoc>false</SharedDoc>
  <HLinks>
    <vt:vector size="60" baseType="variant">
      <vt:variant>
        <vt:i4>4063263</vt:i4>
      </vt:variant>
      <vt:variant>
        <vt:i4>6</vt:i4>
      </vt:variant>
      <vt:variant>
        <vt:i4>0</vt:i4>
      </vt:variant>
      <vt:variant>
        <vt:i4>5</vt:i4>
      </vt:variant>
      <vt:variant>
        <vt:lpwstr>mailto:martinovsky@svhf.cz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http://esis.jrc.ec.europa.eu/index.php?PGM=cla</vt:lpwstr>
      </vt:variant>
      <vt:variant>
        <vt:lpwstr/>
      </vt:variant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mailto:info@sypera.cz</vt:lpwstr>
      </vt:variant>
      <vt:variant>
        <vt:lpwstr/>
      </vt:variant>
      <vt:variant>
        <vt:i4>5505055</vt:i4>
      </vt:variant>
      <vt:variant>
        <vt:i4>-1</vt:i4>
      </vt:variant>
      <vt:variant>
        <vt:i4>1029</vt:i4>
      </vt:variant>
      <vt:variant>
        <vt:i4>4</vt:i4>
      </vt:variant>
      <vt:variant>
        <vt:lpwstr>http://cs.wikipedia.org/wiki/Soubor:GHS-pictogram-exclam.svg</vt:lpwstr>
      </vt:variant>
      <vt:variant>
        <vt:lpwstr/>
      </vt:variant>
      <vt:variant>
        <vt:i4>5701718</vt:i4>
      </vt:variant>
      <vt:variant>
        <vt:i4>-1</vt:i4>
      </vt:variant>
      <vt:variant>
        <vt:i4>1029</vt:i4>
      </vt:variant>
      <vt:variant>
        <vt:i4>1</vt:i4>
      </vt:variant>
      <vt:variant>
        <vt:lpwstr>http://upload.wikimedia.org/wikipedia/commons/thumb/c/c3/GHS-pictogram-exclam.svg/100px-GHS-pictogram-exclam.svg.png</vt:lpwstr>
      </vt:variant>
      <vt:variant>
        <vt:lpwstr/>
      </vt:variant>
      <vt:variant>
        <vt:i4>5505055</vt:i4>
      </vt:variant>
      <vt:variant>
        <vt:i4>-1</vt:i4>
      </vt:variant>
      <vt:variant>
        <vt:i4>1033</vt:i4>
      </vt:variant>
      <vt:variant>
        <vt:i4>4</vt:i4>
      </vt:variant>
      <vt:variant>
        <vt:lpwstr>http://cs.wikipedia.org/wiki/Soubor:GHS-pictogram-exclam.svg</vt:lpwstr>
      </vt:variant>
      <vt:variant>
        <vt:lpwstr/>
      </vt:variant>
      <vt:variant>
        <vt:i4>5701718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http://upload.wikimedia.org/wikipedia/commons/thumb/c/c3/GHS-pictogram-exclam.svg/100px-GHS-pictogram-exclam.svg.png</vt:lpwstr>
      </vt:variant>
      <vt:variant>
        <vt:lpwstr/>
      </vt:variant>
      <vt:variant>
        <vt:i4>4456519</vt:i4>
      </vt:variant>
      <vt:variant>
        <vt:i4>-1</vt:i4>
      </vt:variant>
      <vt:variant>
        <vt:i4>1034</vt:i4>
      </vt:variant>
      <vt:variant>
        <vt:i4>1</vt:i4>
      </vt:variant>
      <vt:variant>
        <vt:lpwstr>http://upload.wikimedia.org/wikipedia/commons/thumb/a/a1/GHS-pictogram-acid.svg/100px-GHS-pictogram-acid.svg.png</vt:lpwstr>
      </vt:variant>
      <vt:variant>
        <vt:lpwstr/>
      </vt:variant>
      <vt:variant>
        <vt:i4>5505055</vt:i4>
      </vt:variant>
      <vt:variant>
        <vt:i4>-1</vt:i4>
      </vt:variant>
      <vt:variant>
        <vt:i4>1035</vt:i4>
      </vt:variant>
      <vt:variant>
        <vt:i4>4</vt:i4>
      </vt:variant>
      <vt:variant>
        <vt:lpwstr>http://cs.wikipedia.org/wiki/Soubor:GHS-pictogram-exclam.svg</vt:lpwstr>
      </vt:variant>
      <vt:variant>
        <vt:lpwstr/>
      </vt:variant>
      <vt:variant>
        <vt:i4>5701718</vt:i4>
      </vt:variant>
      <vt:variant>
        <vt:i4>-1</vt:i4>
      </vt:variant>
      <vt:variant>
        <vt:i4>1035</vt:i4>
      </vt:variant>
      <vt:variant>
        <vt:i4>1</vt:i4>
      </vt:variant>
      <vt:variant>
        <vt:lpwstr>http://upload.wikimedia.org/wikipedia/commons/thumb/c/c3/GHS-pictogram-exclam.svg/100px-GHS-pictogram-exclam.svg.png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DOMA</dc:creator>
  <cp:lastModifiedBy>Petra Karlová</cp:lastModifiedBy>
  <cp:revision>2</cp:revision>
  <dcterms:created xsi:type="dcterms:W3CDTF">2015-01-14T15:00:00Z</dcterms:created>
  <dcterms:modified xsi:type="dcterms:W3CDTF">2015-01-14T15:00:00Z</dcterms:modified>
</cp:coreProperties>
</file>